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default" w:cs="Arial"/>
          <w:bCs/>
          <w:sz w:val="22"/>
          <w:szCs w:val="22"/>
          <w:lang w:val="en-US" w:eastAsia="zh-CN"/>
        </w:rPr>
      </w:pPr>
      <w:bookmarkStart w:id="3" w:name="_GoBack"/>
      <w:bookmarkStart w:id="0" w:name="_Ref494746248"/>
      <w:r>
        <w:rPr>
          <w:rFonts w:cs="Arial"/>
          <w:bCs/>
          <w:sz w:val="22"/>
          <w:szCs w:val="22"/>
          <w:lang w:eastAsia="zh-CN"/>
        </w:rPr>
        <w:t>3GPP TSG RAN WG1 #10</w:t>
      </w:r>
      <w:r>
        <w:rPr>
          <w:rFonts w:hint="eastAsia" w:cs="Arial"/>
          <w:bCs/>
          <w:sz w:val="22"/>
          <w:szCs w:val="22"/>
          <w:lang w:val="en-US" w:eastAsia="zh-CN"/>
        </w:rPr>
        <w:t xml:space="preserve">8  </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R1-2201167</w:t>
      </w:r>
    </w:p>
    <w:p>
      <w:pPr>
        <w:pStyle w:val="38"/>
        <w:tabs>
          <w:tab w:val="right" w:pos="8280"/>
          <w:tab w:val="right" w:pos="9781"/>
        </w:tabs>
        <w:snapToGrid w:val="0"/>
        <w:spacing w:after="360" w:afterLines="100" w:line="240" w:lineRule="auto"/>
        <w:ind w:right="-57"/>
      </w:pPr>
      <w:r>
        <w:rPr>
          <w:rFonts w:eastAsia="Times New Roman" w:cs="Arial"/>
          <w:bCs/>
          <w:sz w:val="22"/>
          <w:szCs w:val="22"/>
          <w:highlight w:val="none"/>
          <w:lang w:eastAsia="ja-JP"/>
        </w:rPr>
        <w:t xml:space="preserve">e-Meeting, </w:t>
      </w:r>
      <w:r>
        <w:rPr>
          <w:rFonts w:hint="eastAsia" w:cs="Arial"/>
          <w:bCs/>
          <w:sz w:val="22"/>
          <w:szCs w:val="22"/>
          <w:highlight w:val="none"/>
          <w:lang w:val="en-US" w:eastAsia="zh-CN"/>
        </w:rPr>
        <w:t>Feb 21</w:t>
      </w:r>
      <w:r>
        <w:rPr>
          <w:rFonts w:hint="eastAsia" w:eastAsia="宋体" w:cs="Arial"/>
          <w:bCs/>
          <w:sz w:val="22"/>
          <w:szCs w:val="22"/>
          <w:highlight w:val="none"/>
          <w:vertAlign w:val="superscript"/>
          <w:lang w:val="en-US" w:eastAsia="zh-CN"/>
        </w:rPr>
        <w:t>st</w:t>
      </w:r>
      <w:r>
        <w:rPr>
          <w:rFonts w:eastAsia="Times New Roman" w:cs="Arial"/>
          <w:bCs/>
          <w:sz w:val="22"/>
          <w:szCs w:val="22"/>
          <w:highlight w:val="none"/>
          <w:lang w:eastAsia="ja-JP"/>
        </w:rPr>
        <w:t xml:space="preserve"> – </w:t>
      </w:r>
      <w:r>
        <w:rPr>
          <w:rFonts w:hint="eastAsia" w:eastAsia="宋体" w:cs="Arial"/>
          <w:bCs/>
          <w:sz w:val="22"/>
          <w:szCs w:val="22"/>
          <w:highlight w:val="none"/>
          <w:lang w:val="en-US" w:eastAsia="zh-CN"/>
        </w:rPr>
        <w:t>Mar</w:t>
      </w:r>
      <w:r>
        <w:rPr>
          <w:rFonts w:eastAsia="Times New Roman" w:cs="Arial"/>
          <w:bCs/>
          <w:sz w:val="22"/>
          <w:szCs w:val="22"/>
          <w:highlight w:val="none"/>
          <w:lang w:eastAsia="ja-JP"/>
        </w:rPr>
        <w:t xml:space="preserve"> </w:t>
      </w:r>
      <w:r>
        <w:rPr>
          <w:rFonts w:hint="eastAsia" w:eastAsia="宋体" w:cs="Arial"/>
          <w:bCs/>
          <w:sz w:val="22"/>
          <w:szCs w:val="22"/>
          <w:highlight w:val="none"/>
          <w:lang w:val="en-US" w:eastAsia="zh-CN"/>
        </w:rPr>
        <w:t>3</w:t>
      </w:r>
      <w:r>
        <w:rPr>
          <w:rFonts w:hint="eastAsia" w:eastAsia="宋体" w:cs="Arial"/>
          <w:bCs/>
          <w:sz w:val="22"/>
          <w:szCs w:val="22"/>
          <w:highlight w:val="none"/>
          <w:vertAlign w:val="superscript"/>
          <w:lang w:val="en-US" w:eastAsia="zh-CN"/>
        </w:rPr>
        <w:t>rd</w:t>
      </w:r>
      <w:r>
        <w:rPr>
          <w:rFonts w:eastAsia="Times New Roman" w:cs="Arial"/>
          <w:bCs/>
          <w:sz w:val="22"/>
          <w:szCs w:val="22"/>
          <w:highlight w:val="none"/>
          <w:lang w:eastAsia="ja-JP"/>
        </w:rPr>
        <w:t>, 202</w:t>
      </w:r>
      <w:r>
        <w:rPr>
          <w:rFonts w:hint="eastAsia" w:eastAsia="宋体" w:cs="Arial"/>
          <w:bCs/>
          <w:sz w:val="22"/>
          <w:szCs w:val="22"/>
          <w:highlight w:val="none"/>
          <w:lang w:val="en-US" w:eastAsia="zh-CN"/>
        </w:rPr>
        <w:t>2</w:t>
      </w:r>
      <w:r>
        <w:rPr>
          <w:rFonts w:ascii="Arial" w:hAnsi="Arial" w:cs="Arial"/>
          <w:b/>
          <w:sz w:val="22"/>
          <w:szCs w:val="22"/>
        </w:rPr>
        <w:tab/>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hint="default" w:ascii="Arial" w:hAnsi="Arial"/>
          <w:b/>
          <w:lang w:val="en-US" w:eastAsia="zh-CN"/>
        </w:rPr>
      </w:pPr>
      <w:r>
        <w:rPr>
          <w:rFonts w:ascii="Arial" w:hAnsi="Arial"/>
          <w:b/>
        </w:rPr>
        <w:t xml:space="preserve">Title: </w:t>
      </w:r>
      <w:r>
        <w:rPr>
          <w:rFonts w:ascii="Arial" w:hAnsi="Arial"/>
          <w:b/>
        </w:rPr>
        <w:tab/>
      </w:r>
      <w:r>
        <w:rPr>
          <w:rFonts w:hint="eastAsia" w:ascii="Arial" w:hAnsi="Arial"/>
          <w:b/>
        </w:rPr>
        <w:t>Discussion on remaining issues for coverage enhancements for PUCCH</w:t>
      </w:r>
    </w:p>
    <w:p>
      <w:pPr>
        <w:tabs>
          <w:tab w:val="left" w:pos="1985"/>
        </w:tabs>
        <w:spacing w:after="0"/>
        <w:rPr>
          <w:rFonts w:hint="default" w:ascii="Arial" w:hAnsi="Arial"/>
          <w:b/>
          <w:lang w:val="en-US" w:eastAsia="zh-CN"/>
        </w:rPr>
      </w:pPr>
      <w:r>
        <w:rPr>
          <w:rFonts w:ascii="Arial" w:hAnsi="Arial"/>
          <w:b/>
        </w:rPr>
        <w:t>Agenda item:</w:t>
      </w:r>
      <w:r>
        <w:rPr>
          <w:rFonts w:ascii="Arial" w:hAnsi="Arial"/>
          <w:b/>
        </w:rPr>
        <w:tab/>
      </w:r>
      <w:r>
        <w:rPr>
          <w:rFonts w:hint="eastAsia" w:ascii="Arial" w:hAnsi="Arial"/>
          <w:b/>
          <w:lang w:eastAsia="zh-CN"/>
        </w:rPr>
        <w:t>8.</w:t>
      </w:r>
      <w:r>
        <w:rPr>
          <w:rFonts w:hint="eastAsia" w:ascii="Arial" w:hAnsi="Arial"/>
          <w:b/>
          <w:lang w:val="en-US" w:eastAsia="zh-CN"/>
        </w:rPr>
        <w:t>8.2</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spacing w:before="273" w:beforeLines="100"/>
        <w:rPr>
          <w:rFonts w:hint="eastAsia"/>
          <w:lang w:val="en-US" w:eastAsia="zh-CN"/>
        </w:rPr>
      </w:pPr>
      <w:r>
        <w:rPr>
          <w:rFonts w:hint="eastAsia"/>
          <w:highlight w:val="none"/>
          <w:lang w:val="en-US" w:eastAsia="zh-CN"/>
        </w:rPr>
        <w:t xml:space="preserve">Most of the critical issues for PUCCH enhancements have been resolved. </w:t>
      </w:r>
      <w:r>
        <w:rPr>
          <w:rFonts w:hint="eastAsia"/>
          <w:highlight w:val="none"/>
          <w:lang w:eastAsia="zh-CN"/>
        </w:rPr>
        <w:t xml:space="preserve">In this contribution, we </w:t>
      </w:r>
      <w:r>
        <w:rPr>
          <w:rFonts w:hint="eastAsia"/>
          <w:highlight w:val="none"/>
          <w:lang w:val="en-US" w:eastAsia="zh-CN"/>
        </w:rPr>
        <w:t>provide our views on remaining issues of enhancements for PUCCH.</w:t>
      </w:r>
    </w:p>
    <w:p>
      <w:pPr>
        <w:pStyle w:val="2"/>
        <w:bidi w:val="0"/>
        <w:rPr>
          <w:rFonts w:hint="default"/>
          <w:lang w:val="en-US" w:eastAsia="zh-CN"/>
        </w:rPr>
      </w:pPr>
      <w:r>
        <w:rPr>
          <w:rFonts w:hint="eastAsia"/>
          <w:color w:val="000000"/>
          <w:lang w:val="en-US" w:eastAsia="zh-CN"/>
        </w:rPr>
        <w:t>D</w:t>
      </w:r>
      <w:r>
        <w:rPr>
          <w:color w:val="000000"/>
          <w:lang w:eastAsia="ko-KR"/>
        </w:rPr>
        <w:t>ynamic PUCCH repetition factor indication</w:t>
      </w:r>
    </w:p>
    <w:p>
      <w:pPr>
        <w:rPr>
          <w:rFonts w:hint="eastAsia"/>
          <w:b w:val="0"/>
          <w:bCs w:val="0"/>
          <w:sz w:val="20"/>
          <w:szCs w:val="20"/>
          <w:highlight w:val="yellow"/>
          <w:u w:val="none"/>
          <w:lang w:val="en-US" w:eastAsia="zh-CN"/>
        </w:rPr>
      </w:pPr>
      <w:r>
        <w:rPr>
          <w:rFonts w:hint="eastAsia"/>
          <w:highlight w:val="none"/>
          <w:lang w:val="en-US" w:eastAsia="zh-CN"/>
        </w:rPr>
        <w:t xml:space="preserve">In the last RAN1-107bis e-meeting, there was still no consensus on </w:t>
      </w:r>
      <w:r>
        <w:rPr>
          <w:rFonts w:ascii="Times New Roman" w:hAnsi="Times New Roman"/>
          <w:b w:val="0"/>
          <w:bCs w:val="0"/>
          <w:sz w:val="20"/>
          <w:szCs w:val="20"/>
          <w:u w:val="none"/>
        </w:rPr>
        <w:t xml:space="preserve">whether or not to support </w:t>
      </w:r>
      <w:r>
        <w:rPr>
          <w:rFonts w:ascii="Times New Roman" w:hAnsi="Times New Roman"/>
          <w:b w:val="0"/>
          <w:bCs w:val="0"/>
          <w:sz w:val="20"/>
          <w:szCs w:val="20"/>
          <w:u w:val="none"/>
          <w:lang w:val="en-GB"/>
        </w:rPr>
        <w:t>dynamic PUCCH repetition factor indication for HARQ-ACK for SPS PDSCH</w:t>
      </w:r>
      <w:r>
        <w:rPr>
          <w:rFonts w:hint="eastAsia" w:ascii="Times New Roman" w:hAnsi="Times New Roman"/>
          <w:b w:val="0"/>
          <w:bCs w:val="0"/>
          <w:sz w:val="20"/>
          <w:szCs w:val="20"/>
          <w:u w:val="none"/>
          <w:lang w:val="en-US" w:eastAsia="zh-CN"/>
        </w:rPr>
        <w:t xml:space="preserve">. </w:t>
      </w:r>
      <w:r>
        <w:rPr>
          <w:rFonts w:hint="eastAsia"/>
          <w:b w:val="0"/>
          <w:bCs w:val="0"/>
          <w:sz w:val="20"/>
          <w:szCs w:val="20"/>
          <w:u w:val="none"/>
          <w:lang w:val="en-US" w:eastAsia="zh-CN"/>
        </w:rPr>
        <w:t xml:space="preserve">And it was proposed to clarify this issue in Rel-15 first. </w:t>
      </w:r>
      <w:r>
        <w:rPr>
          <w:rFonts w:hint="eastAsia"/>
          <w:b w:val="0"/>
          <w:bCs w:val="0"/>
          <w:sz w:val="20"/>
          <w:szCs w:val="20"/>
          <w:highlight w:val="none"/>
          <w:u w:val="none"/>
          <w:lang w:val="en-US" w:eastAsia="zh-CN"/>
        </w:rPr>
        <w:t>Our accompany contribution discusses this issue in AI 7.1 in [1].</w:t>
      </w:r>
    </w:p>
    <w:p>
      <w:pPr>
        <w:spacing w:before="137" w:beforeLines="50"/>
        <w:rPr>
          <w:rFonts w:hint="default" w:eastAsia="宋体"/>
          <w:b w:val="0"/>
          <w:bCs w:val="0"/>
          <w:color w:val="auto"/>
          <w:sz w:val="20"/>
          <w:szCs w:val="20"/>
          <w:u w:val="none"/>
          <w:lang w:val="en-US" w:eastAsia="zh-CN"/>
        </w:rPr>
      </w:pPr>
      <w:r>
        <w:rPr>
          <w:rFonts w:hint="eastAsia"/>
          <w:b w:val="0"/>
          <w:bCs w:val="0"/>
          <w:sz w:val="20"/>
          <w:szCs w:val="20"/>
          <w:u w:val="none"/>
          <w:lang w:val="en-US" w:eastAsia="zh-CN"/>
        </w:rPr>
        <w:t xml:space="preserve">As already mentioned many times in previous meeting/discussion, </w:t>
      </w:r>
      <w:r>
        <w:rPr>
          <w:rFonts w:hint="eastAsia"/>
          <w:b w:val="0"/>
          <w:bCs w:val="0"/>
          <w:color w:val="auto"/>
          <w:sz w:val="20"/>
          <w:szCs w:val="20"/>
          <w:u w:val="none"/>
          <w:lang w:val="en-US" w:eastAsia="zh-CN"/>
        </w:rPr>
        <w:t xml:space="preserve">we have the same understanding with most companies </w:t>
      </w:r>
      <w:r>
        <w:rPr>
          <w:rFonts w:hint="eastAsia"/>
          <w:color w:val="auto"/>
          <w:lang w:eastAsia="zh-CN"/>
        </w:rPr>
        <w:t xml:space="preserve">that </w:t>
      </w:r>
      <w:r>
        <w:rPr>
          <w:color w:val="auto"/>
          <w:lang w:eastAsia="zh-CN"/>
        </w:rPr>
        <w:t>the first SPS PDSCH associated with the activation DCI</w:t>
      </w:r>
      <w:r>
        <w:rPr>
          <w:rFonts w:hint="eastAsia"/>
          <w:color w:val="auto"/>
          <w:lang w:eastAsia="zh-CN"/>
        </w:rPr>
        <w:t xml:space="preserve"> is treated as a dynamic scheduled PDSCH repetition</w:t>
      </w:r>
      <w:r>
        <w:rPr>
          <w:rFonts w:hint="eastAsia"/>
          <w:color w:val="auto"/>
          <w:lang w:val="en-US" w:eastAsia="zh-CN"/>
        </w:rPr>
        <w:t>.</w:t>
      </w:r>
      <w:r>
        <w:rPr>
          <w:rFonts w:hint="eastAsia"/>
          <w:color w:val="auto"/>
          <w:lang w:eastAsia="zh-CN"/>
        </w:rPr>
        <w:t xml:space="preserve"> </w:t>
      </w:r>
      <w:r>
        <w:rPr>
          <w:rFonts w:hint="eastAsia"/>
          <w:color w:val="auto"/>
          <w:lang w:val="en-US" w:eastAsia="zh-CN"/>
        </w:rPr>
        <w:t>Therefore</w:t>
      </w:r>
      <w:r>
        <w:rPr>
          <w:rFonts w:hint="eastAsia"/>
          <w:color w:val="auto"/>
          <w:lang w:eastAsia="zh-CN"/>
        </w:rPr>
        <w:t xml:space="preserve">, we support </w:t>
      </w:r>
      <w:r>
        <w:rPr>
          <w:color w:val="auto"/>
          <w:lang w:eastAsia="zh-CN"/>
        </w:rPr>
        <w:t xml:space="preserve">dynamic PUCCH repetition factor indication is </w:t>
      </w:r>
      <w:r>
        <w:rPr>
          <w:rFonts w:hint="eastAsia"/>
          <w:color w:val="auto"/>
          <w:lang w:eastAsia="zh-CN"/>
        </w:rPr>
        <w:t xml:space="preserve">also </w:t>
      </w:r>
      <w:r>
        <w:rPr>
          <w:color w:val="auto"/>
          <w:lang w:eastAsia="zh-CN"/>
        </w:rPr>
        <w:t>applied to HARQ-ACK for the first SPS PDSCH</w:t>
      </w:r>
      <w:r>
        <w:rPr>
          <w:rFonts w:hint="eastAsia"/>
          <w:color w:val="auto"/>
          <w:lang w:eastAsia="zh-CN"/>
        </w:rPr>
        <w:t xml:space="preserve"> </w:t>
      </w:r>
      <w:r>
        <w:rPr>
          <w:color w:val="auto"/>
          <w:lang w:eastAsia="zh-CN"/>
        </w:rPr>
        <w:t>associated with the activation DCI</w:t>
      </w:r>
      <w:r>
        <w:rPr>
          <w:rFonts w:hint="eastAsia"/>
          <w:color w:val="auto"/>
          <w:lang w:eastAsia="zh-CN"/>
        </w:rPr>
        <w:t xml:space="preserve">. </w:t>
      </w:r>
      <w:r>
        <w:rPr>
          <w:rFonts w:hint="eastAsia"/>
          <w:color w:val="auto"/>
          <w:lang w:val="en-US" w:eastAsia="zh-CN"/>
        </w:rPr>
        <w:t xml:space="preserve">In this sense, </w:t>
      </w:r>
      <w:r>
        <w:rPr>
          <w:color w:val="auto"/>
          <w:lang w:eastAsia="zh-CN"/>
        </w:rPr>
        <w:t xml:space="preserve">we prefer the formulation provided by </w:t>
      </w:r>
      <w:r>
        <w:rPr>
          <w:color w:val="auto"/>
        </w:rPr>
        <w:t xml:space="preserve">FL proposed conclusion 0, as provided by FL during </w:t>
      </w:r>
      <w:r>
        <w:rPr>
          <w:rFonts w:hint="eastAsia"/>
          <w:color w:val="auto"/>
          <w:lang w:val="en-US" w:eastAsia="zh-CN"/>
        </w:rPr>
        <w:t>RAN1</w:t>
      </w:r>
      <w:r>
        <w:rPr>
          <w:color w:val="auto"/>
        </w:rPr>
        <w:t>#106b-e</w:t>
      </w:r>
      <w:r>
        <w:rPr>
          <w:rFonts w:hint="eastAsia"/>
          <w:color w:val="auto"/>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hint="eastAsia"/>
                <w:color w:val="auto"/>
                <w:highlight w:val="none"/>
                <w:lang w:val="en-US" w:eastAsia="zh-CN"/>
              </w:rPr>
            </w:pPr>
            <w:r>
              <w:rPr>
                <w:b w:val="0"/>
                <w:bCs w:val="0"/>
                <w:color w:val="auto"/>
              </w:rPr>
              <w:t>I</w:t>
            </w:r>
            <w:r>
              <w:rPr>
                <w:rFonts w:hint="eastAsia"/>
                <w:color w:val="auto"/>
                <w:highlight w:val="none"/>
                <w:lang w:val="en-US" w:eastAsia="zh-CN"/>
              </w:rPr>
              <w:t>n NR Rel-17, the dynamic PUCCH repetition factor indication mechanism agreed in RAN1 106e does not apply to HARQ-ACK for SPS PDSCH except for the following two cases</w:t>
            </w:r>
          </w:p>
          <w:p>
            <w:pPr>
              <w:numPr>
                <w:ilvl w:val="0"/>
                <w:numId w:val="10"/>
              </w:numPr>
              <w:spacing w:before="120" w:line="280" w:lineRule="atLeast"/>
              <w:ind w:left="420" w:leftChars="0" w:hanging="420" w:firstLineChars="0"/>
              <w:rPr>
                <w:rFonts w:hint="eastAsia"/>
                <w:color w:val="auto"/>
                <w:highlight w:val="none"/>
                <w:lang w:val="en-GB" w:eastAsia="zh-CN"/>
              </w:rPr>
            </w:pPr>
            <w:r>
              <w:rPr>
                <w:rFonts w:hint="eastAsia"/>
                <w:color w:val="auto"/>
                <w:highlight w:val="none"/>
                <w:lang w:val="en-US" w:eastAsia="zh-CN"/>
              </w:rPr>
              <w:t>HARQ-ACK for the first SPS PDSCH associated with the activation DCI.</w:t>
            </w:r>
            <w:r>
              <w:rPr>
                <w:rFonts w:hint="eastAsia"/>
                <w:color w:val="auto"/>
                <w:highlight w:val="none"/>
                <w:lang w:val="en-GB" w:eastAsia="zh-CN"/>
              </w:rPr>
              <w:t xml:space="preserve"> </w:t>
            </w:r>
          </w:p>
          <w:p>
            <w:pPr>
              <w:numPr>
                <w:ilvl w:val="0"/>
                <w:numId w:val="10"/>
              </w:numPr>
              <w:spacing w:before="120" w:line="280" w:lineRule="atLeast"/>
              <w:ind w:left="420" w:leftChars="0" w:hanging="420" w:firstLineChars="0"/>
              <w:rPr>
                <w:rFonts w:hint="eastAsia"/>
                <w:color w:val="auto"/>
                <w:highlight w:val="none"/>
                <w:lang w:val="en-GB" w:eastAsia="zh-CN"/>
              </w:rPr>
            </w:pPr>
            <w:r>
              <w:rPr>
                <w:rFonts w:hint="eastAsia"/>
                <w:color w:val="auto"/>
                <w:highlight w:val="none"/>
                <w:lang w:val="en-US" w:eastAsia="zh-CN"/>
              </w:rPr>
              <w:t xml:space="preserve">HARQ-ACK corresponding to the SPS release DCI </w:t>
            </w:r>
          </w:p>
          <w:p>
            <w:pPr>
              <w:spacing w:before="120" w:line="280" w:lineRule="atLeast"/>
              <w:rPr>
                <w:rFonts w:hint="default"/>
                <w:b w:val="0"/>
                <w:bCs w:val="0"/>
                <w:color w:val="auto"/>
                <w:sz w:val="20"/>
                <w:szCs w:val="20"/>
                <w:u w:val="none"/>
                <w:vertAlign w:val="baseline"/>
                <w:lang w:val="en-US" w:eastAsia="zh-CN"/>
              </w:rPr>
            </w:pPr>
            <w:r>
              <w:rPr>
                <w:rFonts w:hint="eastAsia"/>
                <w:color w:val="auto"/>
                <w:highlight w:val="none"/>
                <w:lang w:val="en-GB" w:eastAsia="zh-CN"/>
              </w:rPr>
              <w:t xml:space="preserve">Note: </w:t>
            </w:r>
            <w:r>
              <w:rPr>
                <w:rFonts w:hint="eastAsia"/>
                <w:color w:val="auto"/>
                <w:highlight w:val="none"/>
                <w:lang w:val="en-US" w:eastAsia="zh-CN"/>
              </w:rPr>
              <w:t>HARQ-ACK for the first SPS PDSCH associated with the activation DCI and HARQ-ACK corresponding to the SPS release DCI are categorized as PUCCH with associated scheduling DCI.</w:t>
            </w:r>
          </w:p>
        </w:tc>
      </w:tr>
    </w:tbl>
    <w:p>
      <w:pPr>
        <w:numPr>
          <w:ilvl w:val="0"/>
          <w:numId w:val="0"/>
        </w:numPr>
        <w:spacing w:before="120" w:line="280" w:lineRule="atLeast"/>
        <w:rPr>
          <w:rFonts w:hint="eastAsia"/>
          <w:b/>
          <w:bCs/>
          <w:i/>
          <w:iCs/>
          <w:color w:val="auto"/>
          <w:sz w:val="20"/>
          <w:szCs w:val="20"/>
          <w:highlight w:val="none"/>
          <w:u w:val="none"/>
          <w:lang w:val="en-US" w:eastAsia="zh-CN"/>
        </w:rPr>
      </w:pPr>
      <w:r>
        <w:rPr>
          <w:rFonts w:hint="eastAsia"/>
          <w:b/>
          <w:bCs/>
          <w:i/>
          <w:iCs/>
          <w:color w:val="auto"/>
          <w:highlight w:val="none"/>
          <w:lang w:val="en-US" w:eastAsia="zh-CN"/>
        </w:rPr>
        <w:t xml:space="preserve">Proposal 1: RAN1 concludes that dynamic PUCCH repetition indication is supported for </w:t>
      </w:r>
      <w:r>
        <w:rPr>
          <w:rFonts w:ascii="Times New Roman" w:hAnsi="Times New Roman"/>
          <w:b/>
          <w:bCs/>
          <w:i/>
          <w:iCs/>
          <w:color w:val="auto"/>
          <w:sz w:val="20"/>
          <w:szCs w:val="20"/>
          <w:highlight w:val="none"/>
          <w:u w:val="none"/>
          <w:lang w:val="en-GB"/>
        </w:rPr>
        <w:t xml:space="preserve">HARQ-ACK for </w:t>
      </w:r>
      <w:r>
        <w:rPr>
          <w:rFonts w:hint="eastAsia"/>
          <w:b/>
          <w:bCs/>
          <w:i/>
          <w:iCs/>
          <w:color w:val="auto"/>
          <w:sz w:val="20"/>
          <w:szCs w:val="20"/>
          <w:highlight w:val="none"/>
          <w:u w:val="none"/>
          <w:lang w:val="en-US" w:eastAsia="zh-CN"/>
        </w:rPr>
        <w:t xml:space="preserve">the first </w:t>
      </w:r>
      <w:r>
        <w:rPr>
          <w:rFonts w:ascii="Times New Roman" w:hAnsi="Times New Roman"/>
          <w:b/>
          <w:bCs/>
          <w:i/>
          <w:iCs/>
          <w:color w:val="auto"/>
          <w:sz w:val="20"/>
          <w:szCs w:val="20"/>
          <w:highlight w:val="none"/>
          <w:u w:val="none"/>
          <w:lang w:val="en-GB"/>
        </w:rPr>
        <w:t>SPS PDSCH</w:t>
      </w:r>
      <w:r>
        <w:rPr>
          <w:rFonts w:hint="eastAsia"/>
          <w:b/>
          <w:bCs/>
          <w:i/>
          <w:iCs/>
          <w:color w:val="auto"/>
          <w:sz w:val="20"/>
          <w:szCs w:val="20"/>
          <w:highlight w:val="none"/>
          <w:u w:val="none"/>
          <w:lang w:val="en-US" w:eastAsia="zh-CN"/>
        </w:rPr>
        <w:t xml:space="preserve"> associated with the activation DCI and </w:t>
      </w:r>
      <w:r>
        <w:rPr>
          <w:rFonts w:hint="eastAsia"/>
          <w:b/>
          <w:bCs/>
          <w:i/>
          <w:iCs/>
          <w:color w:val="auto"/>
          <w:highlight w:val="none"/>
          <w:lang w:val="en-US" w:eastAsia="zh-CN"/>
        </w:rPr>
        <w:t>HARQ-ACK corresponding to the SPS release DCI</w:t>
      </w:r>
      <w:r>
        <w:rPr>
          <w:rFonts w:hint="eastAsia"/>
          <w:b/>
          <w:bCs/>
          <w:i/>
          <w:iCs/>
          <w:color w:val="auto"/>
          <w:sz w:val="20"/>
          <w:szCs w:val="20"/>
          <w:highlight w:val="none"/>
          <w:u w:val="none"/>
          <w:lang w:val="en-US" w:eastAsia="zh-CN"/>
        </w:rPr>
        <w:t xml:space="preserve">, while not supported for </w:t>
      </w:r>
      <w:r>
        <w:rPr>
          <w:rFonts w:ascii="Times New Roman" w:hAnsi="Times New Roman"/>
          <w:b/>
          <w:bCs/>
          <w:i/>
          <w:iCs/>
          <w:color w:val="auto"/>
          <w:sz w:val="20"/>
          <w:szCs w:val="20"/>
          <w:highlight w:val="none"/>
          <w:u w:val="none"/>
          <w:lang w:val="en-GB"/>
        </w:rPr>
        <w:t xml:space="preserve">HARQ-ACK for </w:t>
      </w:r>
      <w:r>
        <w:rPr>
          <w:rFonts w:hint="eastAsia"/>
          <w:b/>
          <w:bCs/>
          <w:i/>
          <w:iCs/>
          <w:color w:val="auto"/>
          <w:sz w:val="20"/>
          <w:szCs w:val="20"/>
          <w:highlight w:val="none"/>
          <w:u w:val="none"/>
          <w:lang w:val="en-US" w:eastAsia="zh-CN"/>
        </w:rPr>
        <w:t xml:space="preserve">the remaining </w:t>
      </w:r>
      <w:r>
        <w:rPr>
          <w:rFonts w:ascii="Times New Roman" w:hAnsi="Times New Roman"/>
          <w:b/>
          <w:bCs/>
          <w:i/>
          <w:iCs/>
          <w:color w:val="auto"/>
          <w:sz w:val="20"/>
          <w:szCs w:val="20"/>
          <w:highlight w:val="none"/>
          <w:u w:val="none"/>
          <w:lang w:val="en-GB"/>
        </w:rPr>
        <w:t>SPS PDSCH</w:t>
      </w:r>
      <w:r>
        <w:rPr>
          <w:rFonts w:hint="eastAsia"/>
          <w:b/>
          <w:bCs/>
          <w:i/>
          <w:iCs/>
          <w:color w:val="auto"/>
          <w:sz w:val="20"/>
          <w:szCs w:val="20"/>
          <w:highlight w:val="none"/>
          <w:u w:val="none"/>
          <w:lang w:val="en-US" w:eastAsia="zh-CN"/>
        </w:rPr>
        <w:t>s other than the first SPS PDSCH.</w:t>
      </w:r>
    </w:p>
    <w:p>
      <w:pPr>
        <w:pStyle w:val="2"/>
        <w:bidi w:val="0"/>
        <w:rPr>
          <w:rFonts w:hint="default"/>
          <w:b w:val="0"/>
          <w:bCs w:val="0"/>
          <w:i w:val="0"/>
          <w:iCs w:val="0"/>
          <w:color w:val="0000FF"/>
          <w:u w:val="single"/>
          <w:lang w:val="en-US" w:eastAsia="zh-CN"/>
        </w:rPr>
      </w:pPr>
      <w:r>
        <w:rPr>
          <w:rFonts w:hint="eastAsia"/>
          <w:color w:val="000000"/>
          <w:lang w:val="en-US" w:eastAsia="zh-CN"/>
        </w:rPr>
        <w:t>Frequency hopping design for PUCCH/PUSCH</w:t>
      </w:r>
    </w:p>
    <w:p>
      <w:pPr>
        <w:rPr>
          <w:rFonts w:hint="default"/>
          <w:lang w:val="en-US" w:eastAsia="zh-CN"/>
        </w:rPr>
      </w:pPr>
      <w:r>
        <w:rPr>
          <w:rFonts w:hint="eastAsia"/>
          <w:lang w:val="en-US" w:eastAsia="zh-CN"/>
        </w:rPr>
        <w:t>Regarding the frequency hopping design for PUCCH/PUSCH, there is still no agreement. But two Options are provided for down-selection in this meeting as following.</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b/>
                <w:bCs/>
                <w:lang w:val="en-GB"/>
              </w:rPr>
            </w:pPr>
            <w:r>
              <w:rPr>
                <w:b/>
                <w:bCs/>
                <w:highlight w:val="magenta"/>
                <w:lang w:val="en-GB"/>
              </w:rPr>
              <w:t>FL proposal 3a:</w:t>
            </w:r>
            <w:r>
              <w:rPr>
                <w:b/>
                <w:bCs/>
                <w:lang w:val="en-GB"/>
              </w:rPr>
              <w:t xml:space="preserve"> For inter-slot frequency hopping for PUCCH/PUSCH with DMRS bundling, down-select </w:t>
            </w:r>
            <w:r>
              <w:rPr>
                <w:b/>
                <w:bCs/>
                <w:strike/>
                <w:color w:val="FF0000"/>
                <w:lang w:val="en-GB"/>
              </w:rPr>
              <w:t>(in RAN1#107bis-e)</w:t>
            </w:r>
            <w:r>
              <w:rPr>
                <w:b/>
                <w:bCs/>
                <w:lang w:val="en-GB"/>
              </w:rPr>
              <w:t xml:space="preserve"> between the following two options </w:t>
            </w:r>
          </w:p>
          <w:p>
            <w:pPr>
              <w:pStyle w:val="114"/>
              <w:numPr>
                <w:ilvl w:val="0"/>
                <w:numId w:val="11"/>
              </w:numPr>
              <w:spacing w:before="120" w:line="280" w:lineRule="atLeast"/>
              <w:rPr>
                <w:rFonts w:ascii="Times New Roman" w:hAnsi="Times New Roman"/>
                <w:b/>
                <w:bCs/>
                <w:sz w:val="20"/>
                <w:szCs w:val="20"/>
              </w:rPr>
            </w:pPr>
            <w:r>
              <w:rPr>
                <w:rFonts w:ascii="Times New Roman" w:hAnsi="Times New Roman"/>
                <w:b/>
                <w:bCs/>
                <w:sz w:val="20"/>
                <w:szCs w:val="20"/>
                <w:lang w:val="en-GB"/>
              </w:rPr>
              <w:t xml:space="preserve">Option 1: Physical slot index is used to determine inter-slot frequency </w:t>
            </w:r>
            <w:r>
              <w:rPr>
                <w:rFonts w:ascii="Times New Roman" w:hAnsi="Times New Roman"/>
                <w:b/>
                <w:bCs/>
                <w:sz w:val="20"/>
                <w:szCs w:val="20"/>
              </w:rPr>
              <w:t>hopping for PUCCH/PUSCH repetitions with DMRS bundling.</w:t>
            </w:r>
          </w:p>
          <w:p>
            <w:pPr>
              <w:pStyle w:val="114"/>
              <w:numPr>
                <w:ilvl w:val="0"/>
                <w:numId w:val="11"/>
              </w:numPr>
              <w:spacing w:before="120" w:line="280" w:lineRule="atLeast"/>
              <w:rPr>
                <w:rFonts w:hint="eastAsia"/>
                <w:vertAlign w:val="baseline"/>
                <w:lang w:val="en-US" w:eastAsia="zh-CN"/>
              </w:rPr>
            </w:pPr>
            <w:r>
              <w:rPr>
                <w:rFonts w:ascii="Times New Roman" w:hAnsi="Times New Roman"/>
                <w:b/>
                <w:bCs/>
                <w:sz w:val="20"/>
                <w:szCs w:val="20"/>
              </w:rPr>
              <w:t xml:space="preserve">Option 4: Physical slot index is used to determine inter-slot frequency hopping for PUSCH repetitions with DMRS bundling. Relative slot index is used to determine inter-slot frequency hopping for PUCCH repetitions with DMRS bundling. </w:t>
            </w:r>
          </w:p>
        </w:tc>
      </w:tr>
    </w:tbl>
    <w:p>
      <w:pPr>
        <w:rPr>
          <w:rFonts w:hint="eastAsia"/>
          <w:lang w:val="en-US" w:eastAsia="zh-CN"/>
        </w:rPr>
      </w:pPr>
    </w:p>
    <w:p>
      <w:pPr>
        <w:rPr>
          <w:rFonts w:hint="default" w:eastAsia="宋体"/>
          <w:highlight w:val="yellow"/>
          <w:lang w:val="en-US" w:eastAsia="zh-CN"/>
        </w:rPr>
      </w:pPr>
      <w:r>
        <w:rPr>
          <w:rFonts w:hint="eastAsia"/>
          <w:lang w:val="en-US" w:eastAsia="zh-CN"/>
        </w:rPr>
        <w:t xml:space="preserve">If the physical slot index is used to determine inter-slot frequency hopping for PUCCH/PUSCH repetitions with DMRS bundling, </w:t>
      </w:r>
      <w:r>
        <w:rPr>
          <w:rFonts w:hint="eastAsia"/>
          <w:highlight w:val="none"/>
          <w:lang w:val="en-US" w:eastAsia="zh-CN"/>
        </w:rPr>
        <w:t xml:space="preserve">the start of a hopping pattern may not be aligned with the start of a configured TDW. The situation is severe if the same length are configured for TDW and hopping interval as the misalignment would be always kept once configured. As shown in Figure-1 below, if the TDW starts at slot#3 based on the scheduling, many actual TDWs will be created, which will degrade the performance gain of DMRS bundling. This can be resolved by restricting the first PUSCH transmission to align with the frequency hopping boundary. However, it would be not easy to achieve this in practice, especially when configured frequency hopping interval is large. But </w:t>
      </w:r>
      <w:r>
        <w:rPr>
          <w:rFonts w:hint="eastAsia"/>
          <w:lang w:val="en-US" w:eastAsia="zh-CN"/>
        </w:rPr>
        <w:t>there is no such issue if relative slot index is used instead. The start of a hopping pattern will always be aligned with the start of a configured TDW.</w:t>
      </w:r>
    </w:p>
    <w:p>
      <w:pPr>
        <w:jc w:val="center"/>
      </w:pPr>
      <w:r>
        <w:drawing>
          <wp:inline distT="0" distB="0" distL="114300" distR="114300">
            <wp:extent cx="4792345" cy="3070860"/>
            <wp:effectExtent l="0" t="0" r="8255" b="0"/>
            <wp:docPr id="1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8"/>
                    <pic:cNvPicPr>
                      <a:picLocks noChangeAspect="1"/>
                    </pic:cNvPicPr>
                  </pic:nvPicPr>
                  <pic:blipFill>
                    <a:blip r:embed="rId7"/>
                    <a:stretch>
                      <a:fillRect/>
                    </a:stretch>
                  </pic:blipFill>
                  <pic:spPr>
                    <a:xfrm>
                      <a:off x="0" y="0"/>
                      <a:ext cx="4792345" cy="3070860"/>
                    </a:xfrm>
                    <a:prstGeom prst="rect">
                      <a:avLst/>
                    </a:prstGeom>
                    <a:noFill/>
                    <a:ln>
                      <a:noFill/>
                    </a:ln>
                  </pic:spPr>
                </pic:pic>
              </a:graphicData>
            </a:graphic>
          </wp:inline>
        </w:drawing>
      </w:r>
    </w:p>
    <w:p>
      <w:pPr>
        <w:jc w:val="center"/>
        <w:rPr>
          <w:rFonts w:hint="default" w:eastAsia="宋体"/>
          <w:lang w:val="en-US" w:eastAsia="zh-CN"/>
        </w:rPr>
      </w:pPr>
      <w:r>
        <w:rPr>
          <w:rFonts w:hint="eastAsia"/>
          <w:lang w:val="en-US" w:eastAsia="zh-CN"/>
        </w:rPr>
        <w:t>Figure-1. Illustration of configured TDW and hopping pattern (physical slot index based solution)</w:t>
      </w:r>
    </w:p>
    <w:p>
      <w:pPr>
        <w:numPr>
          <w:ilvl w:val="-1"/>
          <w:numId w:val="0"/>
        </w:numPr>
        <w:ind w:left="0" w:firstLine="0"/>
        <w:rPr>
          <w:rFonts w:hint="default"/>
          <w:b w:val="0"/>
          <w:bCs w:val="0"/>
          <w:i w:val="0"/>
          <w:iCs w:val="0"/>
          <w:color w:val="auto"/>
          <w:lang w:val="en-US" w:eastAsia="zh-CN"/>
        </w:rPr>
      </w:pPr>
      <w:r>
        <w:rPr>
          <w:rFonts w:hint="eastAsia"/>
          <w:b w:val="0"/>
          <w:bCs w:val="0"/>
          <w:i w:val="0"/>
          <w:iCs w:val="0"/>
          <w:color w:val="auto"/>
          <w:lang w:val="en-US" w:eastAsia="zh-CN"/>
        </w:rPr>
        <w:t xml:space="preserve">Since the physical slot index is counted within a radio frame, there will be some issues if the PUCCH/PUSCH repetitions span across the frame boundary and the hopping interval is not configured appropriately, which will result in no frequency hopping or unequal hopping interval. Two examples are shown in Figure-2 to illustrate such issue. For the first example, the number of repetitions N = 24 and hopping interval H = 12 slots. For physical slot index based solution, the hopping position has to re-start at each radio frame boundary, which ends up with no frequency hopping (i.e., always Hop#0). For the second example, due to similar reason, the hopping interval would have different lengths, which may degrade the performance. </w:t>
      </w:r>
    </w:p>
    <w:p>
      <w:pPr>
        <w:numPr>
          <w:ilvl w:val="-1"/>
          <w:numId w:val="0"/>
        </w:numPr>
        <w:ind w:left="0" w:firstLine="0"/>
        <w:rPr>
          <w:rFonts w:hint="eastAsia"/>
          <w:b w:val="0"/>
          <w:bCs w:val="0"/>
          <w:i w:val="0"/>
          <w:iCs w:val="0"/>
          <w:color w:val="auto"/>
          <w:lang w:val="en-US" w:eastAsia="zh-CN"/>
        </w:rPr>
      </w:pPr>
    </w:p>
    <w:p>
      <w:pPr>
        <w:numPr>
          <w:ilvl w:val="-1"/>
          <w:numId w:val="0"/>
        </w:numPr>
        <w:ind w:left="0" w:firstLine="0"/>
        <w:jc w:val="center"/>
      </w:pPr>
      <w:r>
        <w:drawing>
          <wp:inline distT="0" distB="0" distL="114300" distR="114300">
            <wp:extent cx="4994275" cy="1126490"/>
            <wp:effectExtent l="0" t="0" r="4445" b="1270"/>
            <wp:docPr id="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4"/>
                    <pic:cNvPicPr>
                      <a:picLocks noChangeAspect="1"/>
                    </pic:cNvPicPr>
                  </pic:nvPicPr>
                  <pic:blipFill>
                    <a:blip r:embed="rId8"/>
                    <a:stretch>
                      <a:fillRect/>
                    </a:stretch>
                  </pic:blipFill>
                  <pic:spPr>
                    <a:xfrm>
                      <a:off x="0" y="0"/>
                      <a:ext cx="4994275" cy="1126490"/>
                    </a:xfrm>
                    <a:prstGeom prst="rect">
                      <a:avLst/>
                    </a:prstGeom>
                    <a:noFill/>
                    <a:ln>
                      <a:noFill/>
                    </a:ln>
                  </pic:spPr>
                </pic:pic>
              </a:graphicData>
            </a:graphic>
          </wp:inline>
        </w:drawing>
      </w:r>
    </w:p>
    <w:p>
      <w:pPr>
        <w:numPr>
          <w:ilvl w:val="-1"/>
          <w:numId w:val="0"/>
        </w:numPr>
        <w:ind w:left="0" w:firstLine="0"/>
      </w:pPr>
    </w:p>
    <w:p>
      <w:pPr>
        <w:numPr>
          <w:ilvl w:val="-1"/>
          <w:numId w:val="0"/>
        </w:numPr>
        <w:ind w:left="0" w:firstLine="0"/>
        <w:jc w:val="center"/>
        <w:rPr>
          <w:rFonts w:hint="eastAsia"/>
          <w:lang w:val="en-US" w:eastAsia="zh-CN"/>
        </w:rPr>
      </w:pPr>
      <w:r>
        <w:drawing>
          <wp:inline distT="0" distB="0" distL="114300" distR="114300">
            <wp:extent cx="4988560" cy="1125220"/>
            <wp:effectExtent l="0" t="0" r="10160" b="2540"/>
            <wp:docPr id="1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5"/>
                    <pic:cNvPicPr>
                      <a:picLocks noChangeAspect="1"/>
                    </pic:cNvPicPr>
                  </pic:nvPicPr>
                  <pic:blipFill>
                    <a:blip r:embed="rId9"/>
                    <a:stretch>
                      <a:fillRect/>
                    </a:stretch>
                  </pic:blipFill>
                  <pic:spPr>
                    <a:xfrm>
                      <a:off x="0" y="0"/>
                      <a:ext cx="4988560" cy="1125220"/>
                    </a:xfrm>
                    <a:prstGeom prst="rect">
                      <a:avLst/>
                    </a:prstGeom>
                    <a:noFill/>
                    <a:ln>
                      <a:noFill/>
                    </a:ln>
                  </pic:spPr>
                </pic:pic>
              </a:graphicData>
            </a:graphic>
          </wp:inline>
        </w:drawing>
      </w:r>
    </w:p>
    <w:p>
      <w:pPr>
        <w:numPr>
          <w:ilvl w:val="-1"/>
          <w:numId w:val="0"/>
        </w:numPr>
        <w:ind w:left="0" w:firstLine="0"/>
        <w:jc w:val="center"/>
        <w:rPr>
          <w:rFonts w:hint="eastAsia"/>
          <w:lang w:val="en-US" w:eastAsia="zh-CN"/>
        </w:rPr>
      </w:pPr>
      <w:r>
        <w:rPr>
          <w:rFonts w:hint="eastAsia"/>
          <w:lang w:val="en-US" w:eastAsia="zh-CN"/>
        </w:rPr>
        <w:t>Figure-2. Illustration of hopping pattern for physical slot index based solution</w:t>
      </w:r>
    </w:p>
    <w:p>
      <w:pPr>
        <w:numPr>
          <w:ilvl w:val="-1"/>
          <w:numId w:val="0"/>
        </w:numPr>
        <w:ind w:left="0" w:firstLine="0"/>
        <w:jc w:val="both"/>
        <w:rPr>
          <w:rFonts w:hint="default"/>
          <w:lang w:val="en-US" w:eastAsia="zh-CN"/>
        </w:rPr>
      </w:pPr>
      <w:r>
        <w:rPr>
          <w:rFonts w:hint="eastAsia"/>
          <w:lang w:val="en-US" w:eastAsia="zh-CN"/>
        </w:rPr>
        <w:t>In this sense, we do not prefer to use physical slot index to determine inter-slot frequency hopping for PUCCH/PUSCH repetitions with DMRS bundling. But both Option 1 and Option 4 would use physical slot index at least to determine inter-slot frequency hopping for PUSCH repetitions with DMRS bundling. If there is no other options for further consideration, we slightly prefer Option 4, since the problems mentioned above will not exit at least for PUCCH. And it also follows the same principle as in Rel-15/16.</w:t>
      </w:r>
    </w:p>
    <w:p>
      <w:pPr>
        <w:numPr>
          <w:ilvl w:val="-1"/>
          <w:numId w:val="0"/>
        </w:numPr>
        <w:ind w:left="0" w:firstLine="0"/>
        <w:rPr>
          <w:rFonts w:hint="eastAsia"/>
          <w:b/>
          <w:bCs/>
          <w:i/>
          <w:iCs/>
          <w:lang w:val="en-US" w:eastAsia="zh-CN"/>
        </w:rPr>
      </w:pPr>
      <w:r>
        <w:rPr>
          <w:rFonts w:hint="eastAsia"/>
          <w:b/>
          <w:bCs/>
          <w:i/>
          <w:iCs/>
          <w:color w:val="auto"/>
          <w:lang w:val="en-US" w:eastAsia="zh-CN"/>
        </w:rPr>
        <w:t xml:space="preserve">Proposal 2: </w:t>
      </w:r>
      <w:r>
        <w:rPr>
          <w:b/>
          <w:bCs/>
          <w:i/>
          <w:iCs/>
          <w:lang w:val="en-GB"/>
        </w:rPr>
        <w:t>For inter-slot frequency hopping for PUCCH/PUSCH with DMRS bundling</w:t>
      </w:r>
      <w:r>
        <w:rPr>
          <w:rFonts w:hint="eastAsia"/>
          <w:b/>
          <w:bCs/>
          <w:i/>
          <w:iCs/>
          <w:lang w:val="en-US" w:eastAsia="zh-CN"/>
        </w:rPr>
        <w:t>.</w:t>
      </w:r>
    </w:p>
    <w:p>
      <w:pPr>
        <w:numPr>
          <w:ilvl w:val="0"/>
          <w:numId w:val="12"/>
        </w:numPr>
        <w:ind w:left="840" w:leftChars="0" w:hanging="420" w:firstLineChars="0"/>
        <w:rPr>
          <w:rFonts w:hint="eastAsia"/>
          <w:b/>
          <w:bCs/>
          <w:i/>
          <w:iCs/>
          <w:lang w:val="en-US" w:eastAsia="zh-CN"/>
        </w:rPr>
      </w:pPr>
      <w:r>
        <w:rPr>
          <w:rFonts w:ascii="Times New Roman" w:hAnsi="Times New Roman"/>
          <w:b/>
          <w:bCs/>
          <w:i/>
          <w:iCs/>
          <w:sz w:val="20"/>
          <w:szCs w:val="20"/>
        </w:rPr>
        <w:t xml:space="preserve">Physical slot index is used to determine inter-slot frequency hopping for PUSCH repetitions with DMRS bundling. </w:t>
      </w:r>
    </w:p>
    <w:p>
      <w:pPr>
        <w:numPr>
          <w:ilvl w:val="0"/>
          <w:numId w:val="12"/>
        </w:numPr>
        <w:ind w:left="840" w:leftChars="0" w:hanging="420" w:firstLineChars="0"/>
        <w:rPr>
          <w:rFonts w:eastAsia="等线"/>
          <w:b/>
          <w:bCs/>
          <w:i/>
          <w:iCs/>
          <w:color w:val="auto"/>
          <w:szCs w:val="18"/>
          <w:lang w:eastAsia="zh-CN"/>
        </w:rPr>
      </w:pPr>
      <w:r>
        <w:rPr>
          <w:rFonts w:ascii="Times New Roman" w:hAnsi="Times New Roman"/>
          <w:b/>
          <w:bCs/>
          <w:i/>
          <w:iCs/>
          <w:sz w:val="20"/>
          <w:szCs w:val="20"/>
        </w:rPr>
        <w:t>Relative slot index is used to determine inter-slot frequency hopping for PUCCH repetitions with DMRS bundling.</w:t>
      </w:r>
      <w:r>
        <w:rPr>
          <w:rFonts w:hint="default" w:eastAsia="等线"/>
          <w:b/>
          <w:bCs/>
          <w:i/>
          <w:iCs/>
          <w:color w:val="auto"/>
          <w:szCs w:val="18"/>
          <w:lang w:val="en-US" w:eastAsia="zh-CN"/>
        </w:rPr>
        <w:t xml:space="preserve"> </w:t>
      </w:r>
    </w:p>
    <w:p>
      <w:pPr>
        <w:pStyle w:val="2"/>
        <w:bidi w:val="0"/>
        <w:rPr>
          <w:rFonts w:hint="eastAsia"/>
          <w:b w:val="0"/>
          <w:bCs w:val="0"/>
          <w:i w:val="0"/>
          <w:iCs w:val="0"/>
          <w:color w:val="000000"/>
          <w:u w:val="none"/>
          <w:lang w:val="en-US" w:eastAsia="zh-CN"/>
        </w:rPr>
      </w:pPr>
      <w:r>
        <w:rPr>
          <w:rFonts w:hint="eastAsia"/>
          <w:b w:val="0"/>
          <w:bCs w:val="0"/>
          <w:i w:val="0"/>
          <w:iCs w:val="0"/>
          <w:color w:val="000000"/>
          <w:u w:val="none"/>
          <w:lang w:val="en-US" w:eastAsia="zh-CN"/>
        </w:rPr>
        <w:t>Default value for hopping interval</w:t>
      </w:r>
    </w:p>
    <w:p>
      <w:pPr>
        <w:jc w:val="left"/>
        <w:rPr>
          <w:rFonts w:hint="eastAsia"/>
          <w:lang w:val="en-US" w:eastAsia="zh-CN"/>
        </w:rPr>
      </w:pPr>
      <w:r>
        <w:rPr>
          <w:rFonts w:hint="eastAsia"/>
          <w:lang w:val="en-US" w:eastAsia="zh-CN"/>
        </w:rPr>
        <w:t xml:space="preserve">In the RAN1#107bis-e, several options were provided on how to determine the hopping interval if both the hopping interval and TDW length are not configured. </w:t>
      </w:r>
    </w:p>
    <w:p>
      <w:pPr>
        <w:pStyle w:val="114"/>
        <w:numPr>
          <w:ilvl w:val="0"/>
          <w:numId w:val="13"/>
        </w:numPr>
        <w:tabs>
          <w:tab w:val="left" w:pos="420"/>
        </w:tabs>
        <w:overflowPunct w:val="0"/>
        <w:autoSpaceDE w:val="0"/>
        <w:autoSpaceDN w:val="0"/>
        <w:adjustRightInd w:val="0"/>
        <w:snapToGrid w:val="0"/>
        <w:spacing w:after="120" w:line="240" w:lineRule="auto"/>
        <w:textAlignment w:val="baseline"/>
        <w:rPr>
          <w:rFonts w:ascii="Times New Roman" w:hAnsi="Times New Roman" w:eastAsia="等线"/>
          <w:b w:val="0"/>
          <w:bCs w:val="0"/>
          <w:sz w:val="20"/>
          <w:szCs w:val="20"/>
          <w:highlight w:val="none"/>
          <w:lang w:eastAsia="zh-CN"/>
        </w:rPr>
      </w:pPr>
      <w:r>
        <w:rPr>
          <w:rFonts w:ascii="Times New Roman" w:hAnsi="Times New Roman" w:eastAsia="等线"/>
          <w:b w:val="0"/>
          <w:bCs w:val="0"/>
          <w:sz w:val="20"/>
          <w:szCs w:val="20"/>
          <w:highlight w:val="none"/>
          <w:lang w:eastAsia="zh-CN"/>
        </w:rPr>
        <w:t>Option 1: half duration of PUCCH/PUSCH repetitions</w:t>
      </w:r>
    </w:p>
    <w:p>
      <w:pPr>
        <w:pStyle w:val="114"/>
        <w:numPr>
          <w:ilvl w:val="0"/>
          <w:numId w:val="13"/>
        </w:numPr>
        <w:tabs>
          <w:tab w:val="left" w:pos="420"/>
        </w:tabs>
        <w:overflowPunct w:val="0"/>
        <w:autoSpaceDE w:val="0"/>
        <w:autoSpaceDN w:val="0"/>
        <w:adjustRightInd w:val="0"/>
        <w:snapToGrid w:val="0"/>
        <w:spacing w:after="120" w:line="240" w:lineRule="auto"/>
        <w:textAlignment w:val="baseline"/>
        <w:rPr>
          <w:rFonts w:ascii="Times New Roman" w:hAnsi="Times New Roman"/>
          <w:b w:val="0"/>
          <w:bCs w:val="0"/>
          <w:sz w:val="20"/>
          <w:szCs w:val="20"/>
          <w:highlight w:val="none"/>
        </w:rPr>
      </w:pPr>
      <w:r>
        <w:rPr>
          <w:rFonts w:ascii="Times New Roman" w:hAnsi="Times New Roman" w:eastAsia="等线"/>
          <w:b w:val="0"/>
          <w:bCs w:val="0"/>
          <w:sz w:val="20"/>
          <w:szCs w:val="20"/>
          <w:highlight w:val="none"/>
          <w:lang w:eastAsia="zh-CN"/>
        </w:rPr>
        <w:t xml:space="preserve">Option 2: </w:t>
      </w:r>
      <w:r>
        <w:rPr>
          <w:rFonts w:ascii="Times New Roman" w:hAnsi="Times New Roman"/>
          <w:b w:val="0"/>
          <w:bCs w:val="0"/>
          <w:sz w:val="20"/>
          <w:szCs w:val="20"/>
          <w:highlight w:val="none"/>
        </w:rPr>
        <w:t>default window length of the configured TDW</w:t>
      </w:r>
    </w:p>
    <w:p>
      <w:pPr>
        <w:pStyle w:val="114"/>
        <w:numPr>
          <w:ilvl w:val="0"/>
          <w:numId w:val="13"/>
        </w:numPr>
        <w:tabs>
          <w:tab w:val="left" w:pos="420"/>
        </w:tabs>
        <w:overflowPunct w:val="0"/>
        <w:autoSpaceDE w:val="0"/>
        <w:autoSpaceDN w:val="0"/>
        <w:adjustRightInd w:val="0"/>
        <w:snapToGrid w:val="0"/>
        <w:spacing w:after="120" w:line="240" w:lineRule="auto"/>
        <w:textAlignment w:val="baseline"/>
        <w:rPr>
          <w:rFonts w:ascii="Times New Roman" w:hAnsi="Times New Roman"/>
          <w:b w:val="0"/>
          <w:bCs w:val="0"/>
          <w:sz w:val="20"/>
          <w:szCs w:val="20"/>
          <w:highlight w:val="none"/>
        </w:rPr>
      </w:pPr>
      <w:r>
        <w:rPr>
          <w:rFonts w:ascii="Times New Roman" w:hAnsi="Times New Roman"/>
          <w:b w:val="0"/>
          <w:bCs w:val="0"/>
          <w:sz w:val="20"/>
          <w:szCs w:val="20"/>
          <w:highlight w:val="none"/>
        </w:rPr>
        <w:t>Option 3: half of default window length of the configured TDW</w:t>
      </w:r>
    </w:p>
    <w:p>
      <w:pPr>
        <w:pStyle w:val="114"/>
        <w:numPr>
          <w:ilvl w:val="0"/>
          <w:numId w:val="13"/>
        </w:numPr>
        <w:tabs>
          <w:tab w:val="left" w:pos="420"/>
        </w:tabs>
        <w:overflowPunct w:val="0"/>
        <w:autoSpaceDE w:val="0"/>
        <w:autoSpaceDN w:val="0"/>
        <w:adjustRightInd w:val="0"/>
        <w:snapToGrid w:val="0"/>
        <w:spacing w:after="120" w:line="240" w:lineRule="auto"/>
        <w:textAlignment w:val="baseline"/>
        <w:rPr>
          <w:rFonts w:hint="eastAsia"/>
          <w:lang w:val="en-US" w:eastAsia="zh-CN"/>
        </w:rPr>
      </w:pPr>
      <w:r>
        <w:rPr>
          <w:rFonts w:ascii="Times New Roman" w:hAnsi="Times New Roman"/>
          <w:b w:val="0"/>
          <w:bCs w:val="0"/>
          <w:sz w:val="20"/>
          <w:szCs w:val="20"/>
          <w:highlight w:val="none"/>
        </w:rPr>
        <w:t xml:space="preserve">Option 4: a single slot (fallback to </w:t>
      </w:r>
      <w:r>
        <w:rPr>
          <w:rFonts w:ascii="Times New Roman" w:hAnsi="Times New Roman" w:eastAsiaTheme="minorEastAsia"/>
          <w:b w:val="0"/>
          <w:bCs w:val="0"/>
          <w:sz w:val="20"/>
          <w:szCs w:val="20"/>
          <w:highlight w:val="none"/>
        </w:rPr>
        <w:t>Rel-15/16 inter-slot frequency hopping</w:t>
      </w:r>
      <w:r>
        <w:rPr>
          <w:rFonts w:ascii="Times New Roman" w:hAnsi="Times New Roman"/>
          <w:b w:val="0"/>
          <w:bCs w:val="0"/>
          <w:sz w:val="20"/>
          <w:szCs w:val="20"/>
          <w:highlight w:val="none"/>
        </w:rPr>
        <w:t>)</w:t>
      </w:r>
    </w:p>
    <w:p>
      <w:pPr>
        <w:jc w:val="left"/>
        <w:rPr>
          <w:rFonts w:hint="eastAsia"/>
          <w:lang w:val="en-US" w:eastAsia="zh-CN"/>
        </w:rPr>
      </w:pPr>
      <w:r>
        <w:rPr>
          <w:rFonts w:hint="eastAsia"/>
          <w:lang w:val="en-US" w:eastAsia="zh-CN"/>
        </w:rPr>
        <w:t xml:space="preserve">Based on the two current agreements below: </w:t>
      </w:r>
    </w:p>
    <w:p>
      <w:pPr>
        <w:numPr>
          <w:ilvl w:val="0"/>
          <w:numId w:val="14"/>
        </w:numPr>
        <w:jc w:val="left"/>
        <w:rPr>
          <w:rFonts w:hint="eastAsia" w:eastAsia="宋体"/>
          <w:color w:val="auto"/>
          <w:sz w:val="20"/>
          <w:szCs w:val="20"/>
          <w:lang w:val="en-US" w:eastAsia="zh-CN"/>
        </w:rPr>
      </w:pPr>
      <w:r>
        <w:rPr>
          <w:rFonts w:hint="eastAsia"/>
          <w:color w:val="auto"/>
          <w:sz w:val="20"/>
          <w:szCs w:val="20"/>
          <w:lang w:val="en-US" w:eastAsia="zh-CN"/>
        </w:rPr>
        <w:t xml:space="preserve">if L </w:t>
      </w:r>
      <w:r>
        <w:rPr>
          <w:rFonts w:eastAsia="宋体"/>
          <w:color w:val="auto"/>
          <w:sz w:val="20"/>
          <w:szCs w:val="20"/>
          <w:lang w:eastAsia="zh-CN"/>
        </w:rPr>
        <w:t>is not configured, the default value of L = min (maximum duration, duration of all PUSCH</w:t>
      </w:r>
      <w:r>
        <w:rPr>
          <w:rFonts w:hint="eastAsia"/>
          <w:color w:val="auto"/>
          <w:sz w:val="20"/>
          <w:szCs w:val="20"/>
          <w:lang w:val="en-US" w:eastAsia="zh-CN"/>
        </w:rPr>
        <w:t>/PUCCH</w:t>
      </w:r>
      <w:r>
        <w:rPr>
          <w:rFonts w:eastAsia="宋体"/>
          <w:color w:val="auto"/>
          <w:sz w:val="20"/>
          <w:szCs w:val="20"/>
          <w:lang w:eastAsia="zh-CN"/>
        </w:rPr>
        <w:t xml:space="preserve"> repetitions)</w:t>
      </w:r>
      <w:r>
        <w:rPr>
          <w:rFonts w:hint="eastAsia" w:eastAsia="宋体"/>
          <w:color w:val="auto"/>
          <w:sz w:val="20"/>
          <w:szCs w:val="20"/>
          <w:lang w:val="en-US" w:eastAsia="zh-CN"/>
        </w:rPr>
        <w:t xml:space="preserve">. </w:t>
      </w:r>
    </w:p>
    <w:p>
      <w:pPr>
        <w:numPr>
          <w:ilvl w:val="0"/>
          <w:numId w:val="14"/>
        </w:numPr>
        <w:jc w:val="left"/>
        <w:rPr>
          <w:rFonts w:hint="default" w:eastAsia="宋体"/>
          <w:color w:val="auto"/>
          <w:sz w:val="20"/>
          <w:szCs w:val="20"/>
          <w:lang w:val="en-US" w:eastAsia="zh-CN"/>
        </w:rPr>
      </w:pPr>
      <w:r>
        <w:rPr>
          <w:rFonts w:hint="eastAsia"/>
          <w:color w:val="auto"/>
          <w:sz w:val="20"/>
          <w:szCs w:val="20"/>
          <w:lang w:val="en-US" w:eastAsia="zh-CN"/>
        </w:rPr>
        <w:t>i</w:t>
      </w:r>
      <w:r>
        <w:rPr>
          <w:rFonts w:hint="default" w:eastAsia="宋体"/>
          <w:color w:val="auto"/>
          <w:sz w:val="20"/>
          <w:szCs w:val="20"/>
          <w:lang w:val="en-US" w:eastAsia="zh-CN"/>
        </w:rPr>
        <w:t>f hopping interval is not configured, the default hopping interval is the same as the configured TDW length</w:t>
      </w:r>
    </w:p>
    <w:p>
      <w:pPr>
        <w:jc w:val="both"/>
        <w:rPr>
          <w:rFonts w:hint="eastAsia"/>
          <w:lang w:val="en-US" w:eastAsia="zh-CN"/>
        </w:rPr>
      </w:pPr>
      <w:r>
        <w:rPr>
          <w:rFonts w:hint="eastAsia"/>
          <w:lang w:val="en-US" w:eastAsia="zh-CN"/>
        </w:rPr>
        <w:t xml:space="preserve">Option 2 seems more straightforward. However, </w:t>
      </w:r>
      <w:r>
        <w:rPr>
          <w:rFonts w:hint="eastAsia"/>
          <w:color w:val="auto"/>
          <w:sz w:val="20"/>
          <w:szCs w:val="20"/>
          <w:lang w:val="en-US" w:eastAsia="zh-CN"/>
        </w:rPr>
        <w:t xml:space="preserve">if the default TDW length equals to the duration of all PUSCH repetitions, </w:t>
      </w:r>
      <w:r>
        <w:rPr>
          <w:rFonts w:hint="eastAsia" w:eastAsia="宋体"/>
          <w:color w:val="auto"/>
          <w:sz w:val="20"/>
          <w:szCs w:val="20"/>
          <w:lang w:val="en-US" w:eastAsia="zh-CN"/>
        </w:rPr>
        <w:t xml:space="preserve">the gain </w:t>
      </w:r>
      <w:r>
        <w:rPr>
          <w:rFonts w:hint="eastAsia"/>
          <w:color w:val="auto"/>
          <w:sz w:val="20"/>
          <w:szCs w:val="20"/>
          <w:lang w:val="en-US" w:eastAsia="zh-CN"/>
        </w:rPr>
        <w:t>from</w:t>
      </w:r>
      <w:r>
        <w:rPr>
          <w:rFonts w:hint="eastAsia" w:eastAsia="宋体"/>
          <w:color w:val="auto"/>
          <w:sz w:val="20"/>
          <w:szCs w:val="20"/>
          <w:lang w:val="en-US" w:eastAsia="zh-CN"/>
        </w:rPr>
        <w:t xml:space="preserve"> frequency hopping is lost</w:t>
      </w:r>
      <w:r>
        <w:rPr>
          <w:rFonts w:hint="eastAsia"/>
          <w:color w:val="auto"/>
          <w:sz w:val="20"/>
          <w:szCs w:val="20"/>
          <w:lang w:val="en-US" w:eastAsia="zh-CN"/>
        </w:rPr>
        <w:t xml:space="preserve">, though </w:t>
      </w:r>
      <w:r>
        <w:rPr>
          <w:rFonts w:hint="eastAsia" w:eastAsia="宋体"/>
          <w:color w:val="auto"/>
          <w:sz w:val="20"/>
          <w:szCs w:val="20"/>
          <w:lang w:val="en-US" w:eastAsia="zh-CN"/>
        </w:rPr>
        <w:t xml:space="preserve">the gain achieved from DMRS bundling </w:t>
      </w:r>
      <w:r>
        <w:rPr>
          <w:rFonts w:hint="eastAsia"/>
          <w:color w:val="auto"/>
          <w:sz w:val="20"/>
          <w:szCs w:val="20"/>
          <w:lang w:val="en-US" w:eastAsia="zh-CN"/>
        </w:rPr>
        <w:t xml:space="preserve">can be </w:t>
      </w:r>
      <w:r>
        <w:rPr>
          <w:rFonts w:hint="eastAsia" w:eastAsia="宋体"/>
          <w:color w:val="auto"/>
          <w:sz w:val="20"/>
          <w:szCs w:val="20"/>
          <w:lang w:val="en-US" w:eastAsia="zh-CN"/>
        </w:rPr>
        <w:t>maximized</w:t>
      </w:r>
      <w:r>
        <w:rPr>
          <w:rFonts w:hint="eastAsia"/>
          <w:color w:val="auto"/>
          <w:sz w:val="20"/>
          <w:szCs w:val="20"/>
          <w:lang w:val="en-US" w:eastAsia="zh-CN"/>
        </w:rPr>
        <w:t xml:space="preserve">. On the other hand, Option 4 can ensure the best diversity gain while would lost the </w:t>
      </w:r>
      <w:r>
        <w:rPr>
          <w:rFonts w:hint="eastAsia" w:eastAsia="宋体"/>
          <w:color w:val="auto"/>
          <w:sz w:val="20"/>
          <w:szCs w:val="20"/>
          <w:lang w:val="en-US" w:eastAsia="zh-CN"/>
        </w:rPr>
        <w:t>DMRS bundling</w:t>
      </w:r>
      <w:r>
        <w:rPr>
          <w:rFonts w:hint="eastAsia"/>
          <w:color w:val="auto"/>
          <w:sz w:val="20"/>
          <w:szCs w:val="20"/>
          <w:lang w:val="en-US" w:eastAsia="zh-CN"/>
        </w:rPr>
        <w:t xml:space="preserve"> gain. A</w:t>
      </w:r>
      <w:r>
        <w:rPr>
          <w:rFonts w:hint="eastAsia" w:eastAsia="宋体"/>
          <w:color w:val="auto"/>
          <w:sz w:val="20"/>
          <w:szCs w:val="20"/>
          <w:lang w:val="en-US" w:eastAsia="zh-CN"/>
        </w:rPr>
        <w:t>s shown in our previous simulation results [</w:t>
      </w:r>
      <w:r>
        <w:rPr>
          <w:rFonts w:hint="eastAsia"/>
          <w:color w:val="auto"/>
          <w:sz w:val="20"/>
          <w:szCs w:val="20"/>
          <w:lang w:val="en-US" w:eastAsia="zh-CN"/>
        </w:rPr>
        <w:t>2</w:t>
      </w:r>
      <w:r>
        <w:rPr>
          <w:rFonts w:hint="eastAsia" w:eastAsia="宋体"/>
          <w:color w:val="auto"/>
          <w:sz w:val="20"/>
          <w:szCs w:val="20"/>
          <w:lang w:val="en-US" w:eastAsia="zh-CN"/>
        </w:rPr>
        <w:t>] , i</w:t>
      </w:r>
      <w:r>
        <w:rPr>
          <w:rFonts w:hint="eastAsia"/>
          <w:lang w:val="en-US" w:eastAsia="zh-CN"/>
        </w:rPr>
        <w:t>nter-slot frequency hopping together with inter-slot DMRS bundling (Option 1 or Option 3) can achieve the best performance comparing to DMRS bundling only (Option 2) and inter-slot hopping only (Option 4). With Option 1 or Option 3, at least 2 frequency hops can be guaranteed and thus the gain of frequency hopping can be achieved. If the maximum duration is larger than or equal to the duration of all PUSCH repetition, the default value of configured TDW (L) equals to the duration of PUCCH/PUSCH repetitions. In this case, Option 1 and Option 3 are the same. If the maximum duration is smaller than the duration of PUSCH/PUCCH repetitions, Option 1 and Option 3 will be different. An example is shown in Figure-3 to compare Option 1 and Option 3. In this example,  the duration of PUSCH/PUCCH repetitions is assumed to be 8 and the maximum duration is 6. As can be seen in Figure-3, more segments are created for Option 3, which will decrease the gain achieved from DMRS bundling while similar diversity gain is expected for both options. Therefore, Option 1 is more preferred.</w:t>
      </w:r>
    </w:p>
    <w:p>
      <w:pPr>
        <w:jc w:val="center"/>
        <w:rPr>
          <w:rFonts w:hint="eastAsia"/>
          <w:lang w:val="en-US" w:eastAsia="zh-CN"/>
        </w:rPr>
      </w:pPr>
      <w:r>
        <w:drawing>
          <wp:inline distT="0" distB="0" distL="114300" distR="114300">
            <wp:extent cx="3923030" cy="1783080"/>
            <wp:effectExtent l="0" t="0" r="8890" b="0"/>
            <wp:docPr id="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3"/>
                    <pic:cNvPicPr>
                      <a:picLocks noChangeAspect="1"/>
                    </pic:cNvPicPr>
                  </pic:nvPicPr>
                  <pic:blipFill>
                    <a:blip r:embed="rId10"/>
                    <a:stretch>
                      <a:fillRect/>
                    </a:stretch>
                  </pic:blipFill>
                  <pic:spPr>
                    <a:xfrm>
                      <a:off x="0" y="0"/>
                      <a:ext cx="3923030" cy="1783080"/>
                    </a:xfrm>
                    <a:prstGeom prst="rect">
                      <a:avLst/>
                    </a:prstGeom>
                    <a:noFill/>
                    <a:ln>
                      <a:noFill/>
                    </a:ln>
                  </pic:spPr>
                </pic:pic>
              </a:graphicData>
            </a:graphic>
          </wp:inline>
        </w:drawing>
      </w:r>
    </w:p>
    <w:p>
      <w:pPr>
        <w:jc w:val="center"/>
        <w:rPr>
          <w:rFonts w:hint="default" w:eastAsia="宋体"/>
          <w:lang w:val="en-US" w:eastAsia="zh-CN"/>
        </w:rPr>
      </w:pPr>
      <w:r>
        <w:rPr>
          <w:rFonts w:hint="eastAsia"/>
          <w:lang w:val="en-US" w:eastAsia="zh-CN"/>
        </w:rPr>
        <w:t>Figure-3. frequency hopping pattern for Option 1 and Option 3</w:t>
      </w:r>
    </w:p>
    <w:p>
      <w:pPr>
        <w:jc w:val="left"/>
        <w:rPr>
          <w:rFonts w:hint="default"/>
          <w:b/>
          <w:bCs/>
          <w:i/>
          <w:iCs/>
          <w:lang w:val="en-US" w:eastAsia="zh-CN"/>
        </w:rPr>
      </w:pPr>
      <w:r>
        <w:rPr>
          <w:rFonts w:hint="eastAsia"/>
          <w:b/>
          <w:bCs/>
          <w:i/>
          <w:iCs/>
          <w:lang w:val="en-US" w:eastAsia="zh-CN"/>
        </w:rPr>
        <w:t>Proposal 3: If both hopping interval and configured TDW are not configured, the default hopping interval is equal to half of the duration of all PUSCH/PUCCH repetitions. (Option 1)</w:t>
      </w:r>
    </w:p>
    <w:p>
      <w:pPr>
        <w:pStyle w:val="2"/>
        <w:tabs>
          <w:tab w:val="left" w:pos="432"/>
        </w:tabs>
        <w:spacing w:beforeLines="0" w:after="180" w:afterLines="50"/>
        <w:rPr>
          <w:highlight w:val="none"/>
        </w:rPr>
      </w:pPr>
      <w:r>
        <w:rPr>
          <w:rFonts w:hint="eastAsia"/>
          <w:highlight w:val="none"/>
        </w:rPr>
        <w:t>Conclusion</w:t>
      </w:r>
    </w:p>
    <w:p>
      <w:pPr>
        <w:rPr>
          <w:rFonts w:hint="eastAsia" w:eastAsia="宋体"/>
          <w:lang w:val="en-US" w:eastAsia="zh-CN"/>
        </w:rPr>
      </w:pPr>
      <w:r>
        <w:rPr>
          <w:rFonts w:hint="eastAsia" w:eastAsia="宋体"/>
          <w:lang w:val="en-US" w:eastAsia="zh-CN"/>
        </w:rPr>
        <w:t xml:space="preserve">According to the analysis given above, we have the following </w:t>
      </w:r>
      <w:r>
        <w:rPr>
          <w:rFonts w:hint="eastAsia"/>
          <w:lang w:val="en-US" w:eastAsia="zh-CN"/>
        </w:rPr>
        <w:t>p</w:t>
      </w:r>
      <w:r>
        <w:rPr>
          <w:rFonts w:hint="eastAsia" w:eastAsia="宋体"/>
          <w:lang w:val="en-US" w:eastAsia="zh-CN"/>
        </w:rPr>
        <w:t>roposals:</w:t>
      </w:r>
    </w:p>
    <w:p>
      <w:pPr>
        <w:numPr>
          <w:ilvl w:val="0"/>
          <w:numId w:val="0"/>
        </w:numPr>
        <w:spacing w:before="120" w:line="280" w:lineRule="atLeast"/>
        <w:jc w:val="left"/>
        <w:rPr>
          <w:rFonts w:hint="eastAsia"/>
          <w:b/>
          <w:bCs/>
          <w:i/>
          <w:iCs/>
          <w:color w:val="auto"/>
          <w:lang w:val="en-US" w:eastAsia="zh-CN"/>
        </w:rPr>
      </w:pPr>
      <w:r>
        <w:rPr>
          <w:rFonts w:hint="eastAsia"/>
          <w:b/>
          <w:bCs/>
          <w:i/>
          <w:iCs/>
          <w:highlight w:val="none"/>
          <w:lang w:val="en-US" w:eastAsia="zh-CN"/>
        </w:rPr>
        <w:t xml:space="preserve">Proposal 1: Dynamic PUCCH repetition indication is supported for </w:t>
      </w:r>
      <w:r>
        <w:rPr>
          <w:rFonts w:ascii="Times New Roman" w:hAnsi="Times New Roman"/>
          <w:b/>
          <w:bCs/>
          <w:i/>
          <w:iCs/>
          <w:sz w:val="20"/>
          <w:szCs w:val="20"/>
          <w:highlight w:val="none"/>
          <w:u w:val="none"/>
          <w:lang w:val="en-GB"/>
        </w:rPr>
        <w:t xml:space="preserve">HARQ-ACK for </w:t>
      </w:r>
      <w:r>
        <w:rPr>
          <w:rFonts w:hint="eastAsia"/>
          <w:b/>
          <w:bCs/>
          <w:i/>
          <w:iCs/>
          <w:sz w:val="20"/>
          <w:szCs w:val="20"/>
          <w:highlight w:val="none"/>
          <w:u w:val="none"/>
          <w:lang w:val="en-US" w:eastAsia="zh-CN"/>
        </w:rPr>
        <w:t xml:space="preserve">the first </w:t>
      </w:r>
      <w:r>
        <w:rPr>
          <w:rFonts w:ascii="Times New Roman" w:hAnsi="Times New Roman"/>
          <w:b/>
          <w:bCs/>
          <w:i/>
          <w:iCs/>
          <w:sz w:val="20"/>
          <w:szCs w:val="20"/>
          <w:highlight w:val="none"/>
          <w:u w:val="none"/>
          <w:lang w:val="en-GB"/>
        </w:rPr>
        <w:t>SPS PDSCH</w:t>
      </w:r>
      <w:r>
        <w:rPr>
          <w:rFonts w:hint="eastAsia"/>
          <w:b/>
          <w:bCs/>
          <w:i/>
          <w:iCs/>
          <w:sz w:val="20"/>
          <w:szCs w:val="20"/>
          <w:highlight w:val="none"/>
          <w:u w:val="none"/>
          <w:lang w:val="en-US" w:eastAsia="zh-CN"/>
        </w:rPr>
        <w:t xml:space="preserve"> with associated with the activation DCI and </w:t>
      </w:r>
      <w:r>
        <w:rPr>
          <w:rFonts w:hint="eastAsia"/>
          <w:b/>
          <w:bCs/>
          <w:i/>
          <w:iCs/>
          <w:highlight w:val="none"/>
          <w:lang w:val="en-US" w:eastAsia="zh-CN"/>
        </w:rPr>
        <w:t>HARQ-ACK corresponding to the SPS release DCI</w:t>
      </w:r>
      <w:r>
        <w:rPr>
          <w:rFonts w:hint="eastAsia"/>
          <w:b/>
          <w:bCs/>
          <w:i/>
          <w:iCs/>
          <w:sz w:val="20"/>
          <w:szCs w:val="20"/>
          <w:highlight w:val="none"/>
          <w:u w:val="none"/>
          <w:lang w:val="en-US" w:eastAsia="zh-CN"/>
        </w:rPr>
        <w:t xml:space="preserve">, while not supported for </w:t>
      </w:r>
      <w:r>
        <w:rPr>
          <w:rFonts w:ascii="Times New Roman" w:hAnsi="Times New Roman"/>
          <w:b/>
          <w:bCs/>
          <w:i/>
          <w:iCs/>
          <w:sz w:val="20"/>
          <w:szCs w:val="20"/>
          <w:highlight w:val="none"/>
          <w:u w:val="none"/>
          <w:lang w:val="en-GB"/>
        </w:rPr>
        <w:t xml:space="preserve">HARQ-ACK for </w:t>
      </w:r>
      <w:r>
        <w:rPr>
          <w:rFonts w:hint="eastAsia"/>
          <w:b/>
          <w:bCs/>
          <w:i/>
          <w:iCs/>
          <w:sz w:val="20"/>
          <w:szCs w:val="20"/>
          <w:highlight w:val="none"/>
          <w:u w:val="none"/>
          <w:lang w:val="en-US" w:eastAsia="zh-CN"/>
        </w:rPr>
        <w:t xml:space="preserve">the remaining </w:t>
      </w:r>
      <w:r>
        <w:rPr>
          <w:rFonts w:ascii="Times New Roman" w:hAnsi="Times New Roman"/>
          <w:b/>
          <w:bCs/>
          <w:i/>
          <w:iCs/>
          <w:sz w:val="20"/>
          <w:szCs w:val="20"/>
          <w:highlight w:val="none"/>
          <w:u w:val="none"/>
          <w:lang w:val="en-GB"/>
        </w:rPr>
        <w:t>SPS PDSCH</w:t>
      </w:r>
      <w:r>
        <w:rPr>
          <w:rFonts w:hint="eastAsia"/>
          <w:b/>
          <w:bCs/>
          <w:i/>
          <w:iCs/>
          <w:sz w:val="20"/>
          <w:szCs w:val="20"/>
          <w:highlight w:val="none"/>
          <w:u w:val="none"/>
          <w:lang w:val="en-US" w:eastAsia="zh-CN"/>
        </w:rPr>
        <w:t>s other than the first SPS PDSCH.</w:t>
      </w:r>
    </w:p>
    <w:p>
      <w:pPr>
        <w:numPr>
          <w:ilvl w:val="-1"/>
          <w:numId w:val="0"/>
        </w:numPr>
        <w:ind w:left="0" w:firstLine="0"/>
        <w:rPr>
          <w:rFonts w:hint="eastAsia"/>
          <w:b/>
          <w:bCs/>
          <w:i/>
          <w:iCs/>
          <w:lang w:val="en-US" w:eastAsia="zh-CN"/>
        </w:rPr>
      </w:pPr>
      <w:r>
        <w:rPr>
          <w:rFonts w:hint="eastAsia"/>
          <w:b/>
          <w:bCs/>
          <w:i/>
          <w:iCs/>
          <w:color w:val="auto"/>
          <w:lang w:val="en-US" w:eastAsia="zh-CN"/>
        </w:rPr>
        <w:t xml:space="preserve">Proposal 2: </w:t>
      </w:r>
      <w:r>
        <w:rPr>
          <w:b/>
          <w:bCs/>
          <w:i/>
          <w:iCs/>
          <w:lang w:val="en-GB"/>
        </w:rPr>
        <w:t>For inter-slot frequency hopping for PUCCH/PUSCH with DMRS bundling</w:t>
      </w:r>
      <w:r>
        <w:rPr>
          <w:rFonts w:hint="eastAsia"/>
          <w:b/>
          <w:bCs/>
          <w:i/>
          <w:iCs/>
          <w:lang w:val="en-US" w:eastAsia="zh-CN"/>
        </w:rPr>
        <w:t>.</w:t>
      </w:r>
    </w:p>
    <w:p>
      <w:pPr>
        <w:numPr>
          <w:ilvl w:val="0"/>
          <w:numId w:val="12"/>
        </w:numPr>
        <w:ind w:left="840" w:leftChars="0" w:hanging="420" w:firstLineChars="0"/>
        <w:rPr>
          <w:rFonts w:hint="eastAsia"/>
          <w:b/>
          <w:bCs/>
          <w:i/>
          <w:iCs/>
          <w:lang w:val="en-US" w:eastAsia="zh-CN"/>
        </w:rPr>
      </w:pPr>
      <w:r>
        <w:rPr>
          <w:rFonts w:ascii="Times New Roman" w:hAnsi="Times New Roman"/>
          <w:b/>
          <w:bCs/>
          <w:i/>
          <w:iCs/>
          <w:sz w:val="20"/>
          <w:szCs w:val="20"/>
        </w:rPr>
        <w:t xml:space="preserve">Physical slot index is used to determine inter-slot frequency hopping for PUSCH repetitions with DMRS bundling. </w:t>
      </w:r>
    </w:p>
    <w:p>
      <w:pPr>
        <w:numPr>
          <w:ilvl w:val="0"/>
          <w:numId w:val="12"/>
        </w:numPr>
        <w:ind w:left="840" w:leftChars="0" w:hanging="420" w:firstLineChars="0"/>
        <w:rPr>
          <w:rFonts w:eastAsia="等线"/>
          <w:b/>
          <w:bCs/>
          <w:i/>
          <w:iCs/>
          <w:color w:val="auto"/>
          <w:szCs w:val="18"/>
          <w:lang w:eastAsia="zh-CN"/>
        </w:rPr>
      </w:pPr>
      <w:r>
        <w:rPr>
          <w:rFonts w:ascii="Times New Roman" w:hAnsi="Times New Roman"/>
          <w:b/>
          <w:bCs/>
          <w:i/>
          <w:iCs/>
          <w:sz w:val="20"/>
          <w:szCs w:val="20"/>
        </w:rPr>
        <w:t>Relative slot index is used to determine inter-slot frequency hopping for PUCCH repetitions with DMRS bundling.</w:t>
      </w:r>
      <w:r>
        <w:rPr>
          <w:rFonts w:hint="default" w:eastAsia="等线"/>
          <w:b/>
          <w:bCs/>
          <w:i/>
          <w:iCs/>
          <w:color w:val="auto"/>
          <w:szCs w:val="18"/>
          <w:lang w:val="en-US" w:eastAsia="zh-CN"/>
        </w:rPr>
        <w:t xml:space="preserve"> </w:t>
      </w:r>
    </w:p>
    <w:p>
      <w:pPr>
        <w:jc w:val="left"/>
        <w:rPr>
          <w:rFonts w:hint="default"/>
          <w:b/>
          <w:bCs/>
          <w:i/>
          <w:iCs/>
          <w:lang w:val="en-US" w:eastAsia="zh-CN"/>
        </w:rPr>
      </w:pPr>
      <w:r>
        <w:rPr>
          <w:rFonts w:hint="eastAsia"/>
          <w:b/>
          <w:bCs/>
          <w:i/>
          <w:iCs/>
          <w:lang w:val="en-US" w:eastAsia="zh-CN"/>
        </w:rPr>
        <w:t>Proposal 3: If both hopping interval and configured TDW are not configured, the default hopping interval is equal to half of the duration of all PUSCH/PUCCH repetitions.</w:t>
      </w:r>
    </w:p>
    <w:p>
      <w:pPr>
        <w:pStyle w:val="2"/>
        <w:rPr>
          <w:lang w:eastAsia="zh-CN"/>
        </w:rPr>
      </w:pPr>
      <w:r>
        <w:rPr>
          <w:rFonts w:hint="eastAsia"/>
          <w:lang w:eastAsia="zh-CN"/>
        </w:rPr>
        <w:t>R</w:t>
      </w:r>
      <w:r>
        <w:rPr>
          <w:lang w:eastAsia="zh-CN"/>
        </w:rPr>
        <w:t>eference</w:t>
      </w:r>
    </w:p>
    <w:p>
      <w:pPr>
        <w:pStyle w:val="126"/>
        <w:rPr>
          <w:rFonts w:hint="eastAsia" w:ascii="Times New Roman" w:hAnsi="Times New Roman" w:cs="Times New Roman"/>
          <w:sz w:val="20"/>
          <w:szCs w:val="15"/>
          <w:highlight w:val="none"/>
          <w:lang w:val="en-US" w:eastAsia="zh-CN"/>
        </w:rPr>
      </w:pPr>
      <w:r>
        <w:rPr>
          <w:rFonts w:hint="default" w:ascii="Times New Roman" w:hAnsi="Times New Roman" w:cs="Times New Roman"/>
          <w:sz w:val="20"/>
          <w:szCs w:val="15"/>
          <w:highlight w:val="none"/>
          <w:lang w:eastAsia="zh-CN"/>
        </w:rPr>
        <w:t>3GPP RAN</w:t>
      </w:r>
      <w:r>
        <w:rPr>
          <w:rFonts w:hint="eastAsia" w:cs="Times New Roman"/>
          <w:sz w:val="20"/>
          <w:szCs w:val="15"/>
          <w:highlight w:val="none"/>
          <w:lang w:val="en-US" w:eastAsia="zh-CN"/>
        </w:rPr>
        <w:t>1</w:t>
      </w:r>
      <w:r>
        <w:rPr>
          <w:rFonts w:hint="default" w:ascii="Times New Roman" w:hAnsi="Times New Roman" w:cs="Times New Roman"/>
          <w:sz w:val="20"/>
          <w:szCs w:val="15"/>
          <w:highlight w:val="none"/>
          <w:lang w:eastAsia="zh-CN"/>
        </w:rPr>
        <w:t>#</w:t>
      </w:r>
      <w:r>
        <w:rPr>
          <w:rFonts w:hint="eastAsia" w:cs="Times New Roman"/>
          <w:sz w:val="20"/>
          <w:szCs w:val="15"/>
          <w:highlight w:val="none"/>
          <w:lang w:val="en-US" w:eastAsia="zh-CN"/>
        </w:rPr>
        <w:t>1</w:t>
      </w:r>
      <w:r>
        <w:rPr>
          <w:rFonts w:hint="default" w:ascii="Times New Roman" w:hAnsi="Times New Roman" w:cs="Times New Roman"/>
          <w:sz w:val="20"/>
          <w:szCs w:val="20"/>
          <w:highlight w:val="none"/>
          <w:lang w:val="en-US" w:eastAsia="zh-CN"/>
        </w:rPr>
        <w:t>0</w:t>
      </w:r>
      <w:r>
        <w:rPr>
          <w:rFonts w:hint="eastAsia" w:cs="Times New Roman"/>
          <w:sz w:val="20"/>
          <w:szCs w:val="20"/>
          <w:highlight w:val="none"/>
          <w:lang w:val="en-US" w:eastAsia="zh-CN"/>
        </w:rPr>
        <w:t>8</w:t>
      </w:r>
      <w:r>
        <w:rPr>
          <w:rFonts w:hint="default" w:ascii="Times New Roman" w:hAnsi="Times New Roman" w:cs="Times New Roman"/>
          <w:sz w:val="20"/>
          <w:szCs w:val="20"/>
          <w:highlight w:val="none"/>
          <w:lang w:val="en-US" w:eastAsia="zh-CN"/>
        </w:rPr>
        <w:t xml:space="preserve">-e, </w:t>
      </w:r>
      <w:r>
        <w:rPr>
          <w:rFonts w:hint="default" w:ascii="Times New Roman" w:hAnsi="Times New Roman" w:cs="Times New Roman"/>
          <w:sz w:val="20"/>
          <w:szCs w:val="20"/>
          <w:highlight w:val="none"/>
          <w:lang w:eastAsia="zh-CN"/>
        </w:rPr>
        <w:t>R1-2201385</w:t>
      </w:r>
      <w:r>
        <w:rPr>
          <w:rFonts w:hint="default" w:ascii="Times New Roman" w:hAnsi="Times New Roman" w:cs="Times New Roman"/>
          <w:sz w:val="20"/>
          <w:szCs w:val="20"/>
          <w:highlight w:val="none"/>
          <w:lang w:val="en-US" w:eastAsia="zh-CN"/>
        </w:rPr>
        <w:t xml:space="preserve">, </w:t>
      </w:r>
      <w:r>
        <w:rPr>
          <w:rFonts w:hint="default" w:ascii="Times New Roman" w:hAnsi="Times New Roman" w:cs="Times New Roman"/>
          <w:color w:val="000000" w:themeColor="text1"/>
          <w:sz w:val="20"/>
          <w:szCs w:val="20"/>
          <w14:textFill>
            <w14:solidFill>
              <w14:schemeClr w14:val="tx1"/>
            </w14:solidFill>
          </w14:textFill>
        </w:rPr>
        <w:t>Clarification on PUCCH resource determination for the first SPS PDSCH</w:t>
      </w:r>
      <w:r>
        <w:rPr>
          <w:rFonts w:hint="default" w:ascii="Times New Roman" w:hAnsi="Times New Roman" w:cs="Times New Roman"/>
          <w:sz w:val="20"/>
          <w:szCs w:val="20"/>
          <w:highlight w:val="none"/>
          <w:lang w:val="en-US" w:eastAsia="zh-CN"/>
        </w:rPr>
        <w:t xml:space="preserve">, </w:t>
      </w:r>
      <w:r>
        <w:rPr>
          <w:rFonts w:hint="eastAsia" w:cs="Times New Roman"/>
          <w:color w:val="000000" w:themeColor="text1"/>
          <w:sz w:val="20"/>
          <w:szCs w:val="20"/>
          <w:lang w:val="en-US" w:eastAsia="zh-CN"/>
          <w14:textFill>
            <w14:solidFill>
              <w14:schemeClr w14:val="tx1"/>
            </w14:solidFill>
          </w14:textFill>
        </w:rPr>
        <w:t>ZTE</w:t>
      </w:r>
      <w:r>
        <w:rPr>
          <w:rFonts w:hint="default" w:ascii="Times New Roman" w:hAnsi="Times New Roman" w:cs="Times New Roman"/>
          <w:sz w:val="20"/>
          <w:szCs w:val="20"/>
          <w:highlight w:val="none"/>
          <w:lang w:val="en-US" w:eastAsia="zh-CN"/>
        </w:rPr>
        <w:t>.</w:t>
      </w:r>
    </w:p>
    <w:p>
      <w:pPr>
        <w:pStyle w:val="126"/>
        <w:rPr>
          <w:rFonts w:hint="eastAsia" w:ascii="Times New Roman" w:hAnsi="Times New Roman" w:cs="Times New Roman"/>
          <w:sz w:val="20"/>
          <w:szCs w:val="15"/>
          <w:highlight w:val="none"/>
          <w:lang w:val="en-US" w:eastAsia="zh-CN"/>
        </w:rPr>
      </w:pPr>
      <w:r>
        <w:rPr>
          <w:rFonts w:hint="eastAsia" w:cs="Times New Roman"/>
          <w:sz w:val="20"/>
          <w:szCs w:val="15"/>
          <w:highlight w:val="none"/>
          <w:lang w:val="en-US" w:eastAsia="zh-CN"/>
        </w:rPr>
        <w:t>3GPP RAN1 #</w:t>
      </w:r>
      <w:r>
        <w:rPr>
          <w:rFonts w:hint="eastAsia" w:ascii="Times New Roman" w:hAnsi="Times New Roman" w:cs="Times New Roman"/>
          <w:sz w:val="20"/>
          <w:szCs w:val="15"/>
          <w:highlight w:val="none"/>
          <w:lang w:val="en-US" w:eastAsia="zh-CN"/>
        </w:rPr>
        <w:t>106bis-e, R1-2106742, Discussion on PUCCH coverage enhancement, Z</w:t>
      </w:r>
      <w:r>
        <w:rPr>
          <w:rFonts w:hint="eastAsia" w:cs="Times New Roman"/>
          <w:sz w:val="20"/>
          <w:szCs w:val="15"/>
          <w:highlight w:val="none"/>
          <w:lang w:val="en-US" w:eastAsia="zh-CN"/>
        </w:rPr>
        <w:t>TE</w:t>
      </w:r>
    </w:p>
    <w:bookmarkEnd w:id="3"/>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A84C91"/>
    <w:multiLevelType w:val="singleLevel"/>
    <w:tmpl w:val="98A84C91"/>
    <w:lvl w:ilvl="0" w:tentative="0">
      <w:start w:val="1"/>
      <w:numFmt w:val="decimal"/>
      <w:suff w:val="space"/>
      <w:lvlText w:val="(%1)"/>
      <w:lvlJc w:val="left"/>
    </w:lvl>
  </w:abstractNum>
  <w:abstractNum w:abstractNumId="1">
    <w:nsid w:val="A92DF3FB"/>
    <w:multiLevelType w:val="singleLevel"/>
    <w:tmpl w:val="A92DF3FB"/>
    <w:lvl w:ilvl="0" w:tentative="0">
      <w:start w:val="1"/>
      <w:numFmt w:val="bullet"/>
      <w:lvlText w:val=""/>
      <w:lvlJc w:val="left"/>
      <w:pPr>
        <w:tabs>
          <w:tab w:val="left" w:pos="420"/>
        </w:tabs>
        <w:ind w:left="840" w:hanging="420"/>
      </w:pPr>
      <w:rPr>
        <w:rFonts w:hint="default" w:ascii="Wingdings" w:hAnsi="Wingdings"/>
      </w:rPr>
    </w:lvl>
  </w:abstractNum>
  <w:abstractNum w:abstractNumId="2">
    <w:nsid w:val="085C6F09"/>
    <w:multiLevelType w:val="multilevel"/>
    <w:tmpl w:val="085C6F09"/>
    <w:lvl w:ilvl="0" w:tentative="0">
      <w:start w:val="1"/>
      <w:numFmt w:val="decimal"/>
      <w:pStyle w:val="2"/>
      <w:lvlText w:val="%1"/>
      <w:lvlJc w:val="left"/>
      <w:pPr>
        <w:ind w:left="432" w:hanging="432"/>
      </w:pPr>
      <w:rPr>
        <w:rFonts w:hint="default"/>
        <w:color w:val="auto"/>
      </w:r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3">
    <w:nsid w:val="0D67560A"/>
    <w:multiLevelType w:val="multilevel"/>
    <w:tmpl w:val="0D67560A"/>
    <w:lvl w:ilvl="0" w:tentative="0">
      <w:start w:val="1"/>
      <w:numFmt w:val="decimalZero"/>
      <w:pStyle w:val="152"/>
      <w:lvlText w:val="[00%1]"/>
      <w:lvlJc w:val="left"/>
      <w:pPr>
        <w:tabs>
          <w:tab w:val="left" w:pos="1080"/>
        </w:tabs>
        <w:ind w:left="0" w:firstLine="0"/>
      </w:pPr>
      <w:rPr>
        <w:rFonts w:hint="default" w:ascii="Times New Roman" w:hAnsi="Times New Roman" w:cs="Times New Roman"/>
        <w:b/>
        <w:i w:val="0"/>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5">
    <w:nsid w:val="2E9A00D3"/>
    <w:multiLevelType w:val="multilevel"/>
    <w:tmpl w:val="2E9A00D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8">
    <w:nsid w:val="61BD7F84"/>
    <w:multiLevelType w:val="multilevel"/>
    <w:tmpl w:val="61BD7F8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9">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71D788A"/>
    <w:multiLevelType w:val="multilevel"/>
    <w:tmpl w:val="771D788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4"/>
  </w:num>
  <w:num w:numId="3">
    <w:abstractNumId w:val="10"/>
  </w:num>
  <w:num w:numId="4">
    <w:abstractNumId w:val="7"/>
  </w:num>
  <w:num w:numId="5">
    <w:abstractNumId w:val="13"/>
  </w:num>
  <w:num w:numId="6">
    <w:abstractNumId w:val="9"/>
  </w:num>
  <w:num w:numId="7">
    <w:abstractNumId w:val="6"/>
  </w:num>
  <w:num w:numId="8">
    <w:abstractNumId w:val="12"/>
  </w:num>
  <w:num w:numId="9">
    <w:abstractNumId w:val="3"/>
  </w:num>
  <w:num w:numId="10">
    <w:abstractNumId w:val="8"/>
  </w:num>
  <w:num w:numId="11">
    <w:abstractNumId w:val="5"/>
  </w:num>
  <w:num w:numId="12">
    <w:abstractNumId w:val="1"/>
  </w:num>
  <w:num w:numId="13">
    <w:abstractNumId w:val="1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5926"/>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8E7"/>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B6E"/>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2227BC"/>
    <w:rsid w:val="012361AD"/>
    <w:rsid w:val="0126110D"/>
    <w:rsid w:val="013E6BC5"/>
    <w:rsid w:val="013F7A03"/>
    <w:rsid w:val="016402CE"/>
    <w:rsid w:val="01BE193F"/>
    <w:rsid w:val="01E128CE"/>
    <w:rsid w:val="01EB3A92"/>
    <w:rsid w:val="01FA5745"/>
    <w:rsid w:val="020C405F"/>
    <w:rsid w:val="022C23C4"/>
    <w:rsid w:val="02626989"/>
    <w:rsid w:val="02737E73"/>
    <w:rsid w:val="02811D65"/>
    <w:rsid w:val="0284643E"/>
    <w:rsid w:val="02E51F96"/>
    <w:rsid w:val="02FE5372"/>
    <w:rsid w:val="03023110"/>
    <w:rsid w:val="030E2866"/>
    <w:rsid w:val="032E73B7"/>
    <w:rsid w:val="033536D4"/>
    <w:rsid w:val="033F75FF"/>
    <w:rsid w:val="03532C3F"/>
    <w:rsid w:val="035F79EB"/>
    <w:rsid w:val="036A2B26"/>
    <w:rsid w:val="038E6ECA"/>
    <w:rsid w:val="038F0D3C"/>
    <w:rsid w:val="03B25C4C"/>
    <w:rsid w:val="03BA7570"/>
    <w:rsid w:val="03BF2AA2"/>
    <w:rsid w:val="03D12146"/>
    <w:rsid w:val="03D24EAD"/>
    <w:rsid w:val="03F94E83"/>
    <w:rsid w:val="03FC4856"/>
    <w:rsid w:val="04027D4A"/>
    <w:rsid w:val="041C778B"/>
    <w:rsid w:val="04327865"/>
    <w:rsid w:val="047E59D0"/>
    <w:rsid w:val="048B7799"/>
    <w:rsid w:val="048F11FF"/>
    <w:rsid w:val="04B72387"/>
    <w:rsid w:val="04CC0EA4"/>
    <w:rsid w:val="04CE326B"/>
    <w:rsid w:val="04E97242"/>
    <w:rsid w:val="050D4324"/>
    <w:rsid w:val="05440B2C"/>
    <w:rsid w:val="06045E70"/>
    <w:rsid w:val="060A4922"/>
    <w:rsid w:val="061C50AD"/>
    <w:rsid w:val="06360315"/>
    <w:rsid w:val="064A2945"/>
    <w:rsid w:val="067D4C1C"/>
    <w:rsid w:val="0684639F"/>
    <w:rsid w:val="069A1D58"/>
    <w:rsid w:val="06B127E5"/>
    <w:rsid w:val="0705530E"/>
    <w:rsid w:val="07067712"/>
    <w:rsid w:val="070E2577"/>
    <w:rsid w:val="072F2729"/>
    <w:rsid w:val="07672002"/>
    <w:rsid w:val="077215CC"/>
    <w:rsid w:val="07722C34"/>
    <w:rsid w:val="077E7782"/>
    <w:rsid w:val="078F6F15"/>
    <w:rsid w:val="07954D5C"/>
    <w:rsid w:val="07B35775"/>
    <w:rsid w:val="07BC556B"/>
    <w:rsid w:val="07C21FA9"/>
    <w:rsid w:val="07D06D7A"/>
    <w:rsid w:val="07DD5AB3"/>
    <w:rsid w:val="0806628E"/>
    <w:rsid w:val="08476CF8"/>
    <w:rsid w:val="08891F5A"/>
    <w:rsid w:val="088D57DF"/>
    <w:rsid w:val="089431D6"/>
    <w:rsid w:val="089C07CB"/>
    <w:rsid w:val="08A46328"/>
    <w:rsid w:val="08A871B9"/>
    <w:rsid w:val="08AE4215"/>
    <w:rsid w:val="08AF2FB2"/>
    <w:rsid w:val="08CA7E42"/>
    <w:rsid w:val="08FC7F80"/>
    <w:rsid w:val="09192F85"/>
    <w:rsid w:val="092A0C39"/>
    <w:rsid w:val="0957797D"/>
    <w:rsid w:val="095845DE"/>
    <w:rsid w:val="096B6A5A"/>
    <w:rsid w:val="0970665B"/>
    <w:rsid w:val="0972706B"/>
    <w:rsid w:val="09860267"/>
    <w:rsid w:val="098678CD"/>
    <w:rsid w:val="09880CC0"/>
    <w:rsid w:val="09A342F4"/>
    <w:rsid w:val="09C21BB6"/>
    <w:rsid w:val="09D32A35"/>
    <w:rsid w:val="0A046E11"/>
    <w:rsid w:val="0A617CBC"/>
    <w:rsid w:val="0A6421DA"/>
    <w:rsid w:val="0AAF46CB"/>
    <w:rsid w:val="0AF047C0"/>
    <w:rsid w:val="0AFC60B7"/>
    <w:rsid w:val="0B6E6A8A"/>
    <w:rsid w:val="0B6F6E61"/>
    <w:rsid w:val="0B820D65"/>
    <w:rsid w:val="0BAD56E4"/>
    <w:rsid w:val="0BAD7041"/>
    <w:rsid w:val="0BB27D4D"/>
    <w:rsid w:val="0BBE13D7"/>
    <w:rsid w:val="0BE60BB4"/>
    <w:rsid w:val="0C1551CE"/>
    <w:rsid w:val="0C1B4F3E"/>
    <w:rsid w:val="0C56233F"/>
    <w:rsid w:val="0C5E6B54"/>
    <w:rsid w:val="0C5E7AD8"/>
    <w:rsid w:val="0C6F5654"/>
    <w:rsid w:val="0C961081"/>
    <w:rsid w:val="0CB77457"/>
    <w:rsid w:val="0CE37C3D"/>
    <w:rsid w:val="0CF12AEA"/>
    <w:rsid w:val="0D132BA9"/>
    <w:rsid w:val="0D3F2103"/>
    <w:rsid w:val="0D660AC2"/>
    <w:rsid w:val="0D672BF6"/>
    <w:rsid w:val="0DC10615"/>
    <w:rsid w:val="0DCE068D"/>
    <w:rsid w:val="0DD27B54"/>
    <w:rsid w:val="0DDC43A1"/>
    <w:rsid w:val="0DE97459"/>
    <w:rsid w:val="0E120AD5"/>
    <w:rsid w:val="0E3754E8"/>
    <w:rsid w:val="0E862C51"/>
    <w:rsid w:val="0E8B6E13"/>
    <w:rsid w:val="0E933444"/>
    <w:rsid w:val="0E9565F9"/>
    <w:rsid w:val="0E9A4B90"/>
    <w:rsid w:val="0EB06FFE"/>
    <w:rsid w:val="0EBA2370"/>
    <w:rsid w:val="0EF57D78"/>
    <w:rsid w:val="0EF81B98"/>
    <w:rsid w:val="0F055DC9"/>
    <w:rsid w:val="0F0A50A1"/>
    <w:rsid w:val="0F1D01AC"/>
    <w:rsid w:val="0F26446A"/>
    <w:rsid w:val="0F2A272E"/>
    <w:rsid w:val="0F820B80"/>
    <w:rsid w:val="0F973CB6"/>
    <w:rsid w:val="0FC166A9"/>
    <w:rsid w:val="10150A41"/>
    <w:rsid w:val="101828E5"/>
    <w:rsid w:val="101B366C"/>
    <w:rsid w:val="102D15F4"/>
    <w:rsid w:val="10587DFC"/>
    <w:rsid w:val="106C5DDE"/>
    <w:rsid w:val="1092687B"/>
    <w:rsid w:val="10BE60B3"/>
    <w:rsid w:val="10D80AE3"/>
    <w:rsid w:val="11087971"/>
    <w:rsid w:val="114A6FA3"/>
    <w:rsid w:val="1153018C"/>
    <w:rsid w:val="11653C6F"/>
    <w:rsid w:val="117E25DB"/>
    <w:rsid w:val="119E7BB2"/>
    <w:rsid w:val="11B66480"/>
    <w:rsid w:val="11BD3A27"/>
    <w:rsid w:val="11BE0935"/>
    <w:rsid w:val="11CA77ED"/>
    <w:rsid w:val="11F23257"/>
    <w:rsid w:val="12133AE1"/>
    <w:rsid w:val="124E2EB3"/>
    <w:rsid w:val="125674A8"/>
    <w:rsid w:val="1257267A"/>
    <w:rsid w:val="12A472D8"/>
    <w:rsid w:val="12AB2DA4"/>
    <w:rsid w:val="12B47087"/>
    <w:rsid w:val="12DE4561"/>
    <w:rsid w:val="12FE321B"/>
    <w:rsid w:val="13002978"/>
    <w:rsid w:val="130859B8"/>
    <w:rsid w:val="13274C76"/>
    <w:rsid w:val="135349F3"/>
    <w:rsid w:val="135D374F"/>
    <w:rsid w:val="137D4FDE"/>
    <w:rsid w:val="1380021A"/>
    <w:rsid w:val="13802AFF"/>
    <w:rsid w:val="139C6F06"/>
    <w:rsid w:val="13D67644"/>
    <w:rsid w:val="13E50D3B"/>
    <w:rsid w:val="14054947"/>
    <w:rsid w:val="141F2191"/>
    <w:rsid w:val="14380455"/>
    <w:rsid w:val="14735C38"/>
    <w:rsid w:val="1494344E"/>
    <w:rsid w:val="14970691"/>
    <w:rsid w:val="149920A7"/>
    <w:rsid w:val="14EE206F"/>
    <w:rsid w:val="14F90202"/>
    <w:rsid w:val="1575AEB2"/>
    <w:rsid w:val="1579497C"/>
    <w:rsid w:val="15820912"/>
    <w:rsid w:val="15824EE1"/>
    <w:rsid w:val="15A5567E"/>
    <w:rsid w:val="15CC20E6"/>
    <w:rsid w:val="15CE51A2"/>
    <w:rsid w:val="15EE136C"/>
    <w:rsid w:val="162C0344"/>
    <w:rsid w:val="162E3333"/>
    <w:rsid w:val="164F7F6D"/>
    <w:rsid w:val="165D61C4"/>
    <w:rsid w:val="165E068A"/>
    <w:rsid w:val="16641C2C"/>
    <w:rsid w:val="169373BC"/>
    <w:rsid w:val="16CC793B"/>
    <w:rsid w:val="16F003E9"/>
    <w:rsid w:val="1702D3F2"/>
    <w:rsid w:val="17214315"/>
    <w:rsid w:val="174E0935"/>
    <w:rsid w:val="176F640A"/>
    <w:rsid w:val="178E114B"/>
    <w:rsid w:val="17BD5E6C"/>
    <w:rsid w:val="17BE3D5B"/>
    <w:rsid w:val="17E87E89"/>
    <w:rsid w:val="17FD283B"/>
    <w:rsid w:val="180B054C"/>
    <w:rsid w:val="181B0B92"/>
    <w:rsid w:val="182F04C7"/>
    <w:rsid w:val="184669DE"/>
    <w:rsid w:val="188D2058"/>
    <w:rsid w:val="189B1252"/>
    <w:rsid w:val="18BA7603"/>
    <w:rsid w:val="18CB6C82"/>
    <w:rsid w:val="18E37DD0"/>
    <w:rsid w:val="18FD3F86"/>
    <w:rsid w:val="190769D0"/>
    <w:rsid w:val="190801FB"/>
    <w:rsid w:val="192000D8"/>
    <w:rsid w:val="192B740B"/>
    <w:rsid w:val="19481FB4"/>
    <w:rsid w:val="19654572"/>
    <w:rsid w:val="19CF5864"/>
    <w:rsid w:val="19E368B0"/>
    <w:rsid w:val="1A1C5725"/>
    <w:rsid w:val="1A514204"/>
    <w:rsid w:val="1ADF5685"/>
    <w:rsid w:val="1B2E6DC7"/>
    <w:rsid w:val="1B4E3AF0"/>
    <w:rsid w:val="1B5316CE"/>
    <w:rsid w:val="1B5833E8"/>
    <w:rsid w:val="1B5E59D2"/>
    <w:rsid w:val="1B7022F5"/>
    <w:rsid w:val="1B9F7ADA"/>
    <w:rsid w:val="1BBC447B"/>
    <w:rsid w:val="1BD11D00"/>
    <w:rsid w:val="1BDC2DFC"/>
    <w:rsid w:val="1BE00C7F"/>
    <w:rsid w:val="1BEE65B3"/>
    <w:rsid w:val="1C2168C5"/>
    <w:rsid w:val="1C766428"/>
    <w:rsid w:val="1C921230"/>
    <w:rsid w:val="1CA90658"/>
    <w:rsid w:val="1CA938DC"/>
    <w:rsid w:val="1CB626A2"/>
    <w:rsid w:val="1CC02EEB"/>
    <w:rsid w:val="1CD70A71"/>
    <w:rsid w:val="1CF61D28"/>
    <w:rsid w:val="1D1009DC"/>
    <w:rsid w:val="1D2355A7"/>
    <w:rsid w:val="1D2E2B06"/>
    <w:rsid w:val="1D3D3296"/>
    <w:rsid w:val="1D3D6246"/>
    <w:rsid w:val="1D465FAC"/>
    <w:rsid w:val="1D7F17CE"/>
    <w:rsid w:val="1D833CB2"/>
    <w:rsid w:val="1DC50356"/>
    <w:rsid w:val="1DD50930"/>
    <w:rsid w:val="1DF407BB"/>
    <w:rsid w:val="1E38003B"/>
    <w:rsid w:val="1E423F25"/>
    <w:rsid w:val="1EA41854"/>
    <w:rsid w:val="1EB815C1"/>
    <w:rsid w:val="1F1539CB"/>
    <w:rsid w:val="1F1F0C6A"/>
    <w:rsid w:val="1F391D93"/>
    <w:rsid w:val="1F585154"/>
    <w:rsid w:val="1F850095"/>
    <w:rsid w:val="1FB91CD0"/>
    <w:rsid w:val="1FD774FC"/>
    <w:rsid w:val="1FEB5923"/>
    <w:rsid w:val="2013006C"/>
    <w:rsid w:val="20151D0E"/>
    <w:rsid w:val="20275F86"/>
    <w:rsid w:val="202D1918"/>
    <w:rsid w:val="208D0F4F"/>
    <w:rsid w:val="20910CB1"/>
    <w:rsid w:val="20AF6A2D"/>
    <w:rsid w:val="20BA2550"/>
    <w:rsid w:val="20CD42FE"/>
    <w:rsid w:val="20E65374"/>
    <w:rsid w:val="20F97356"/>
    <w:rsid w:val="21035A99"/>
    <w:rsid w:val="21093D96"/>
    <w:rsid w:val="21131234"/>
    <w:rsid w:val="21282288"/>
    <w:rsid w:val="213E6668"/>
    <w:rsid w:val="217C04D0"/>
    <w:rsid w:val="21932DA6"/>
    <w:rsid w:val="219C725B"/>
    <w:rsid w:val="21B15D7D"/>
    <w:rsid w:val="21FE3E79"/>
    <w:rsid w:val="222F59A7"/>
    <w:rsid w:val="227C2816"/>
    <w:rsid w:val="227F0B86"/>
    <w:rsid w:val="22C22FF5"/>
    <w:rsid w:val="22F03980"/>
    <w:rsid w:val="22FE2795"/>
    <w:rsid w:val="231820FA"/>
    <w:rsid w:val="231E4B98"/>
    <w:rsid w:val="23282034"/>
    <w:rsid w:val="232D30A1"/>
    <w:rsid w:val="23680C07"/>
    <w:rsid w:val="236959BD"/>
    <w:rsid w:val="23721478"/>
    <w:rsid w:val="237D76FD"/>
    <w:rsid w:val="238B15F3"/>
    <w:rsid w:val="23953367"/>
    <w:rsid w:val="239E142D"/>
    <w:rsid w:val="23BD1EF4"/>
    <w:rsid w:val="23D61A36"/>
    <w:rsid w:val="23F72058"/>
    <w:rsid w:val="245870DE"/>
    <w:rsid w:val="247247A7"/>
    <w:rsid w:val="2473146A"/>
    <w:rsid w:val="2475387E"/>
    <w:rsid w:val="24990B16"/>
    <w:rsid w:val="24AD4955"/>
    <w:rsid w:val="24CB68B0"/>
    <w:rsid w:val="24D0128B"/>
    <w:rsid w:val="250D040C"/>
    <w:rsid w:val="25245FF9"/>
    <w:rsid w:val="25374CC5"/>
    <w:rsid w:val="2560279C"/>
    <w:rsid w:val="25810293"/>
    <w:rsid w:val="25A256BC"/>
    <w:rsid w:val="25CE3970"/>
    <w:rsid w:val="25E01348"/>
    <w:rsid w:val="25F176BC"/>
    <w:rsid w:val="26152CC2"/>
    <w:rsid w:val="26166BCB"/>
    <w:rsid w:val="26230FC6"/>
    <w:rsid w:val="26276462"/>
    <w:rsid w:val="264D17ED"/>
    <w:rsid w:val="26641091"/>
    <w:rsid w:val="267C010D"/>
    <w:rsid w:val="2699066B"/>
    <w:rsid w:val="26B97492"/>
    <w:rsid w:val="26EE7123"/>
    <w:rsid w:val="26F60EF2"/>
    <w:rsid w:val="272C1CCE"/>
    <w:rsid w:val="27323917"/>
    <w:rsid w:val="275640D0"/>
    <w:rsid w:val="275C6E61"/>
    <w:rsid w:val="27864A32"/>
    <w:rsid w:val="278802E4"/>
    <w:rsid w:val="27C5366D"/>
    <w:rsid w:val="27DD67CA"/>
    <w:rsid w:val="27F26DB2"/>
    <w:rsid w:val="28047CA2"/>
    <w:rsid w:val="28362179"/>
    <w:rsid w:val="283F5B39"/>
    <w:rsid w:val="28504E4C"/>
    <w:rsid w:val="285B1C7B"/>
    <w:rsid w:val="28690808"/>
    <w:rsid w:val="289A4A41"/>
    <w:rsid w:val="28B07E55"/>
    <w:rsid w:val="28B54AA2"/>
    <w:rsid w:val="28C23920"/>
    <w:rsid w:val="28C77C30"/>
    <w:rsid w:val="28C906F0"/>
    <w:rsid w:val="28CF283D"/>
    <w:rsid w:val="28E80A81"/>
    <w:rsid w:val="290D04CF"/>
    <w:rsid w:val="292B2791"/>
    <w:rsid w:val="29314228"/>
    <w:rsid w:val="29340A1F"/>
    <w:rsid w:val="295A76BB"/>
    <w:rsid w:val="295F286D"/>
    <w:rsid w:val="29613919"/>
    <w:rsid w:val="297F342E"/>
    <w:rsid w:val="298B0664"/>
    <w:rsid w:val="29926981"/>
    <w:rsid w:val="2A0F0B23"/>
    <w:rsid w:val="2A71440E"/>
    <w:rsid w:val="2A893D90"/>
    <w:rsid w:val="2A932738"/>
    <w:rsid w:val="2A9A305C"/>
    <w:rsid w:val="2A9D552B"/>
    <w:rsid w:val="2ACB1712"/>
    <w:rsid w:val="2AFE2B7E"/>
    <w:rsid w:val="2AFE5A05"/>
    <w:rsid w:val="2B0546D8"/>
    <w:rsid w:val="2B115350"/>
    <w:rsid w:val="2B1A73FE"/>
    <w:rsid w:val="2B26248E"/>
    <w:rsid w:val="2B3F1C6E"/>
    <w:rsid w:val="2B471F6C"/>
    <w:rsid w:val="2B527EC9"/>
    <w:rsid w:val="2B6E5744"/>
    <w:rsid w:val="2B8E152F"/>
    <w:rsid w:val="2BB25377"/>
    <w:rsid w:val="2BDF29BF"/>
    <w:rsid w:val="2BE142ED"/>
    <w:rsid w:val="2BE43C11"/>
    <w:rsid w:val="2BF45833"/>
    <w:rsid w:val="2C010A8F"/>
    <w:rsid w:val="2C4B4907"/>
    <w:rsid w:val="2CB23183"/>
    <w:rsid w:val="2CF04E98"/>
    <w:rsid w:val="2D08042B"/>
    <w:rsid w:val="2D1E6BA5"/>
    <w:rsid w:val="2D376513"/>
    <w:rsid w:val="2D3F2C8E"/>
    <w:rsid w:val="2D470923"/>
    <w:rsid w:val="2D757C1E"/>
    <w:rsid w:val="2D99320B"/>
    <w:rsid w:val="2DC863F1"/>
    <w:rsid w:val="2DFB41DC"/>
    <w:rsid w:val="2E350033"/>
    <w:rsid w:val="2E5F4D48"/>
    <w:rsid w:val="2E6D6806"/>
    <w:rsid w:val="2E744F06"/>
    <w:rsid w:val="2E930D3B"/>
    <w:rsid w:val="2EB72406"/>
    <w:rsid w:val="2EF331B5"/>
    <w:rsid w:val="2F077495"/>
    <w:rsid w:val="2F081F45"/>
    <w:rsid w:val="2F2367DE"/>
    <w:rsid w:val="2F6B4E5D"/>
    <w:rsid w:val="2F7913FE"/>
    <w:rsid w:val="2F814FAF"/>
    <w:rsid w:val="2F8B67E3"/>
    <w:rsid w:val="2F9B74C6"/>
    <w:rsid w:val="2FD27D5B"/>
    <w:rsid w:val="2FD27E96"/>
    <w:rsid w:val="2FDF41BB"/>
    <w:rsid w:val="2FE334E4"/>
    <w:rsid w:val="2FF91044"/>
    <w:rsid w:val="3055096E"/>
    <w:rsid w:val="30FB19DC"/>
    <w:rsid w:val="3107240D"/>
    <w:rsid w:val="31542D3B"/>
    <w:rsid w:val="315E3DF0"/>
    <w:rsid w:val="3166748C"/>
    <w:rsid w:val="31900E67"/>
    <w:rsid w:val="31A47A1B"/>
    <w:rsid w:val="31CC5A0B"/>
    <w:rsid w:val="31E1210B"/>
    <w:rsid w:val="31F178E6"/>
    <w:rsid w:val="322B2AAE"/>
    <w:rsid w:val="32303C08"/>
    <w:rsid w:val="324568C8"/>
    <w:rsid w:val="324F2751"/>
    <w:rsid w:val="32832752"/>
    <w:rsid w:val="328974E4"/>
    <w:rsid w:val="32F07DB7"/>
    <w:rsid w:val="32FE23BF"/>
    <w:rsid w:val="330E6893"/>
    <w:rsid w:val="33B67EDD"/>
    <w:rsid w:val="33DE0CB9"/>
    <w:rsid w:val="33EC1A91"/>
    <w:rsid w:val="33F1545D"/>
    <w:rsid w:val="33FB7AC8"/>
    <w:rsid w:val="344277BC"/>
    <w:rsid w:val="344B7BCD"/>
    <w:rsid w:val="344F7A97"/>
    <w:rsid w:val="34586101"/>
    <w:rsid w:val="34592E2A"/>
    <w:rsid w:val="34680CAF"/>
    <w:rsid w:val="347744AE"/>
    <w:rsid w:val="34875741"/>
    <w:rsid w:val="34963370"/>
    <w:rsid w:val="34AB7E73"/>
    <w:rsid w:val="34BE62B2"/>
    <w:rsid w:val="34CC2CE0"/>
    <w:rsid w:val="3511129D"/>
    <w:rsid w:val="355000F1"/>
    <w:rsid w:val="356A1C6B"/>
    <w:rsid w:val="35742CCA"/>
    <w:rsid w:val="35811642"/>
    <w:rsid w:val="35911F22"/>
    <w:rsid w:val="359455FE"/>
    <w:rsid w:val="35E37771"/>
    <w:rsid w:val="35ED7164"/>
    <w:rsid w:val="35EF263E"/>
    <w:rsid w:val="36030E13"/>
    <w:rsid w:val="36091FD3"/>
    <w:rsid w:val="36364EEB"/>
    <w:rsid w:val="36714B62"/>
    <w:rsid w:val="36A475E9"/>
    <w:rsid w:val="36B43102"/>
    <w:rsid w:val="36BE3BF9"/>
    <w:rsid w:val="36CD07B0"/>
    <w:rsid w:val="36EB31BB"/>
    <w:rsid w:val="372201DB"/>
    <w:rsid w:val="373242C4"/>
    <w:rsid w:val="37340EF6"/>
    <w:rsid w:val="373E20CB"/>
    <w:rsid w:val="375C57D7"/>
    <w:rsid w:val="37815E8C"/>
    <w:rsid w:val="37913DB0"/>
    <w:rsid w:val="37995393"/>
    <w:rsid w:val="37C05EB0"/>
    <w:rsid w:val="37DD651E"/>
    <w:rsid w:val="381A51F4"/>
    <w:rsid w:val="386C5C36"/>
    <w:rsid w:val="3898383D"/>
    <w:rsid w:val="389C5F38"/>
    <w:rsid w:val="38BA113F"/>
    <w:rsid w:val="38DD218A"/>
    <w:rsid w:val="38E60A4D"/>
    <w:rsid w:val="38EB15AB"/>
    <w:rsid w:val="39035A2D"/>
    <w:rsid w:val="391B4947"/>
    <w:rsid w:val="39205BF2"/>
    <w:rsid w:val="3923072C"/>
    <w:rsid w:val="39362F4F"/>
    <w:rsid w:val="397347DF"/>
    <w:rsid w:val="398926F9"/>
    <w:rsid w:val="39B92E48"/>
    <w:rsid w:val="39BB105A"/>
    <w:rsid w:val="39C756F3"/>
    <w:rsid w:val="39CB2B39"/>
    <w:rsid w:val="39ED0B9E"/>
    <w:rsid w:val="3A135075"/>
    <w:rsid w:val="3A3143C7"/>
    <w:rsid w:val="3A4B478B"/>
    <w:rsid w:val="3A8424B5"/>
    <w:rsid w:val="3A9A43F1"/>
    <w:rsid w:val="3AA12DFF"/>
    <w:rsid w:val="3AB31D0C"/>
    <w:rsid w:val="3AD06FB7"/>
    <w:rsid w:val="3B0E5515"/>
    <w:rsid w:val="3B124A67"/>
    <w:rsid w:val="3B380971"/>
    <w:rsid w:val="3B3E48C1"/>
    <w:rsid w:val="3B4A3B53"/>
    <w:rsid w:val="3B9A4195"/>
    <w:rsid w:val="3BD034C7"/>
    <w:rsid w:val="3BDA3DBC"/>
    <w:rsid w:val="3C081186"/>
    <w:rsid w:val="3C2D3B81"/>
    <w:rsid w:val="3C341583"/>
    <w:rsid w:val="3C5B7305"/>
    <w:rsid w:val="3C923082"/>
    <w:rsid w:val="3CA13237"/>
    <w:rsid w:val="3CA41437"/>
    <w:rsid w:val="3CC446EF"/>
    <w:rsid w:val="3CE4238B"/>
    <w:rsid w:val="3CF61444"/>
    <w:rsid w:val="3D0354C7"/>
    <w:rsid w:val="3D6D132D"/>
    <w:rsid w:val="3D7359C7"/>
    <w:rsid w:val="3D7642C9"/>
    <w:rsid w:val="3DB708F7"/>
    <w:rsid w:val="3DC236A2"/>
    <w:rsid w:val="3DC86566"/>
    <w:rsid w:val="3DDA6D42"/>
    <w:rsid w:val="3DFA6BAD"/>
    <w:rsid w:val="3DFF13D1"/>
    <w:rsid w:val="3E055E2F"/>
    <w:rsid w:val="3E3A7708"/>
    <w:rsid w:val="3E4B5225"/>
    <w:rsid w:val="3E5175F0"/>
    <w:rsid w:val="3E644A3A"/>
    <w:rsid w:val="3E7347F4"/>
    <w:rsid w:val="3E746699"/>
    <w:rsid w:val="3E774E9F"/>
    <w:rsid w:val="3ED5386B"/>
    <w:rsid w:val="3EDF3E93"/>
    <w:rsid w:val="3EE04EC0"/>
    <w:rsid w:val="3EF83C43"/>
    <w:rsid w:val="3F01664D"/>
    <w:rsid w:val="3F03359F"/>
    <w:rsid w:val="3F175FC8"/>
    <w:rsid w:val="3F2F2593"/>
    <w:rsid w:val="3F995284"/>
    <w:rsid w:val="3FB23215"/>
    <w:rsid w:val="3FD010A5"/>
    <w:rsid w:val="3FD26C28"/>
    <w:rsid w:val="40100E61"/>
    <w:rsid w:val="402327C5"/>
    <w:rsid w:val="405941C0"/>
    <w:rsid w:val="40727205"/>
    <w:rsid w:val="407868C4"/>
    <w:rsid w:val="40850DCD"/>
    <w:rsid w:val="40BF4202"/>
    <w:rsid w:val="416C2BE5"/>
    <w:rsid w:val="419532ED"/>
    <w:rsid w:val="41AC1D9C"/>
    <w:rsid w:val="41AD7958"/>
    <w:rsid w:val="41BC3617"/>
    <w:rsid w:val="4207588F"/>
    <w:rsid w:val="4242619A"/>
    <w:rsid w:val="424F6EDD"/>
    <w:rsid w:val="426F7D63"/>
    <w:rsid w:val="42AA718E"/>
    <w:rsid w:val="42B20782"/>
    <w:rsid w:val="42B86650"/>
    <w:rsid w:val="42D91D82"/>
    <w:rsid w:val="42DF035B"/>
    <w:rsid w:val="430A6BB3"/>
    <w:rsid w:val="431516B3"/>
    <w:rsid w:val="43344416"/>
    <w:rsid w:val="434350BB"/>
    <w:rsid w:val="434C667F"/>
    <w:rsid w:val="439025C6"/>
    <w:rsid w:val="43976F7D"/>
    <w:rsid w:val="43F836B2"/>
    <w:rsid w:val="443226DE"/>
    <w:rsid w:val="443B09CA"/>
    <w:rsid w:val="447177A7"/>
    <w:rsid w:val="44735EF4"/>
    <w:rsid w:val="44824CFA"/>
    <w:rsid w:val="44843067"/>
    <w:rsid w:val="44917C93"/>
    <w:rsid w:val="44D23A7C"/>
    <w:rsid w:val="45021BC2"/>
    <w:rsid w:val="453034AA"/>
    <w:rsid w:val="454D250B"/>
    <w:rsid w:val="45A5103E"/>
    <w:rsid w:val="45BF4853"/>
    <w:rsid w:val="45EF2B74"/>
    <w:rsid w:val="46136785"/>
    <w:rsid w:val="46141491"/>
    <w:rsid w:val="462E578F"/>
    <w:rsid w:val="46487CC3"/>
    <w:rsid w:val="46821D20"/>
    <w:rsid w:val="46D41E44"/>
    <w:rsid w:val="46E2117A"/>
    <w:rsid w:val="472D41FA"/>
    <w:rsid w:val="47434FAF"/>
    <w:rsid w:val="479A09A1"/>
    <w:rsid w:val="47A62253"/>
    <w:rsid w:val="47A70F51"/>
    <w:rsid w:val="47AE2F53"/>
    <w:rsid w:val="47B1431A"/>
    <w:rsid w:val="48202D76"/>
    <w:rsid w:val="485422FE"/>
    <w:rsid w:val="488117C5"/>
    <w:rsid w:val="488A4398"/>
    <w:rsid w:val="48B55179"/>
    <w:rsid w:val="48DC1BD8"/>
    <w:rsid w:val="48DD7F60"/>
    <w:rsid w:val="48F32548"/>
    <w:rsid w:val="49055444"/>
    <w:rsid w:val="49216A6A"/>
    <w:rsid w:val="492C519E"/>
    <w:rsid w:val="494F4F2B"/>
    <w:rsid w:val="49502142"/>
    <w:rsid w:val="496938E0"/>
    <w:rsid w:val="496B37C1"/>
    <w:rsid w:val="49882B35"/>
    <w:rsid w:val="49AC688B"/>
    <w:rsid w:val="49C44B33"/>
    <w:rsid w:val="49C92CDA"/>
    <w:rsid w:val="49E62070"/>
    <w:rsid w:val="49F13CBA"/>
    <w:rsid w:val="49F74849"/>
    <w:rsid w:val="4A087D9E"/>
    <w:rsid w:val="4A1E642C"/>
    <w:rsid w:val="4A201CE4"/>
    <w:rsid w:val="4A7C2A22"/>
    <w:rsid w:val="4A87583A"/>
    <w:rsid w:val="4AA01F11"/>
    <w:rsid w:val="4AC17C98"/>
    <w:rsid w:val="4AFE0DE7"/>
    <w:rsid w:val="4B104ABC"/>
    <w:rsid w:val="4B255188"/>
    <w:rsid w:val="4B2E5E75"/>
    <w:rsid w:val="4B383F2F"/>
    <w:rsid w:val="4B3872E6"/>
    <w:rsid w:val="4B7209BB"/>
    <w:rsid w:val="4B7F05B4"/>
    <w:rsid w:val="4BB75FE0"/>
    <w:rsid w:val="4BC22F87"/>
    <w:rsid w:val="4C140DFC"/>
    <w:rsid w:val="4C261BB5"/>
    <w:rsid w:val="4C3B5420"/>
    <w:rsid w:val="4C3E45A0"/>
    <w:rsid w:val="4C531A49"/>
    <w:rsid w:val="4C5604A8"/>
    <w:rsid w:val="4C5774AC"/>
    <w:rsid w:val="4C65259B"/>
    <w:rsid w:val="4C6D0539"/>
    <w:rsid w:val="4C987828"/>
    <w:rsid w:val="4CA149AE"/>
    <w:rsid w:val="4CA50C40"/>
    <w:rsid w:val="4CAD40E5"/>
    <w:rsid w:val="4CC60D86"/>
    <w:rsid w:val="4CE82729"/>
    <w:rsid w:val="4D295D0A"/>
    <w:rsid w:val="4D3741CF"/>
    <w:rsid w:val="4D5C4622"/>
    <w:rsid w:val="4DB0348E"/>
    <w:rsid w:val="4DF51404"/>
    <w:rsid w:val="4E5633F4"/>
    <w:rsid w:val="4E7740D9"/>
    <w:rsid w:val="4E7A51B3"/>
    <w:rsid w:val="4EA33048"/>
    <w:rsid w:val="4EAC0AFF"/>
    <w:rsid w:val="4EC2021D"/>
    <w:rsid w:val="4ECB7577"/>
    <w:rsid w:val="4EFD2D3F"/>
    <w:rsid w:val="4F001CA3"/>
    <w:rsid w:val="4F084B37"/>
    <w:rsid w:val="4F42361D"/>
    <w:rsid w:val="4F7E5C30"/>
    <w:rsid w:val="4F9414D9"/>
    <w:rsid w:val="4FA01186"/>
    <w:rsid w:val="4FAC2061"/>
    <w:rsid w:val="4FFA4681"/>
    <w:rsid w:val="50036E2B"/>
    <w:rsid w:val="502C5EC1"/>
    <w:rsid w:val="503317F6"/>
    <w:rsid w:val="503F56DA"/>
    <w:rsid w:val="504E0FE1"/>
    <w:rsid w:val="50510E8E"/>
    <w:rsid w:val="50F30311"/>
    <w:rsid w:val="50F85BC3"/>
    <w:rsid w:val="50FD11AE"/>
    <w:rsid w:val="50FD13B2"/>
    <w:rsid w:val="50FF4558"/>
    <w:rsid w:val="51282D4D"/>
    <w:rsid w:val="51327881"/>
    <w:rsid w:val="51AB0F0D"/>
    <w:rsid w:val="52066F2C"/>
    <w:rsid w:val="520C32A6"/>
    <w:rsid w:val="521B4163"/>
    <w:rsid w:val="5249701E"/>
    <w:rsid w:val="529923E8"/>
    <w:rsid w:val="52A93C7A"/>
    <w:rsid w:val="52C9608E"/>
    <w:rsid w:val="52D9178A"/>
    <w:rsid w:val="52DD1DA4"/>
    <w:rsid w:val="52FE30BB"/>
    <w:rsid w:val="5356206E"/>
    <w:rsid w:val="536E79E7"/>
    <w:rsid w:val="5375123D"/>
    <w:rsid w:val="5395369D"/>
    <w:rsid w:val="53C10E10"/>
    <w:rsid w:val="53F313A1"/>
    <w:rsid w:val="54207E6C"/>
    <w:rsid w:val="54237D1F"/>
    <w:rsid w:val="54443740"/>
    <w:rsid w:val="544E2BCE"/>
    <w:rsid w:val="545A46C8"/>
    <w:rsid w:val="54621E17"/>
    <w:rsid w:val="54A47E7E"/>
    <w:rsid w:val="54B40D35"/>
    <w:rsid w:val="54CE2507"/>
    <w:rsid w:val="550546FC"/>
    <w:rsid w:val="55114DF2"/>
    <w:rsid w:val="55167C5F"/>
    <w:rsid w:val="55181CD2"/>
    <w:rsid w:val="552359D0"/>
    <w:rsid w:val="55253A51"/>
    <w:rsid w:val="552D5BBB"/>
    <w:rsid w:val="55474BFE"/>
    <w:rsid w:val="5558377B"/>
    <w:rsid w:val="555A759A"/>
    <w:rsid w:val="555B7D08"/>
    <w:rsid w:val="557837FF"/>
    <w:rsid w:val="55957256"/>
    <w:rsid w:val="55A2576B"/>
    <w:rsid w:val="55BB65AB"/>
    <w:rsid w:val="55D01D97"/>
    <w:rsid w:val="55E9733B"/>
    <w:rsid w:val="56311EFB"/>
    <w:rsid w:val="56472F3B"/>
    <w:rsid w:val="564834DE"/>
    <w:rsid w:val="56745085"/>
    <w:rsid w:val="568A5FF3"/>
    <w:rsid w:val="56A37ED2"/>
    <w:rsid w:val="56AB6AE6"/>
    <w:rsid w:val="56D91FF6"/>
    <w:rsid w:val="56D951D8"/>
    <w:rsid w:val="56E67F2C"/>
    <w:rsid w:val="56E73D9B"/>
    <w:rsid w:val="57007E89"/>
    <w:rsid w:val="57244B18"/>
    <w:rsid w:val="5726538D"/>
    <w:rsid w:val="57323D7B"/>
    <w:rsid w:val="57425FEA"/>
    <w:rsid w:val="575F2499"/>
    <w:rsid w:val="576903A0"/>
    <w:rsid w:val="57775C20"/>
    <w:rsid w:val="577A519D"/>
    <w:rsid w:val="578828CE"/>
    <w:rsid w:val="579345B0"/>
    <w:rsid w:val="579E1912"/>
    <w:rsid w:val="57B26ABD"/>
    <w:rsid w:val="57D05930"/>
    <w:rsid w:val="57D06B1D"/>
    <w:rsid w:val="57E553DC"/>
    <w:rsid w:val="57EF6871"/>
    <w:rsid w:val="5806770C"/>
    <w:rsid w:val="58235FFE"/>
    <w:rsid w:val="58240039"/>
    <w:rsid w:val="5828231D"/>
    <w:rsid w:val="582F5FB6"/>
    <w:rsid w:val="58442C3F"/>
    <w:rsid w:val="58446A9A"/>
    <w:rsid w:val="58662D5E"/>
    <w:rsid w:val="589E24A1"/>
    <w:rsid w:val="58AC1B34"/>
    <w:rsid w:val="58DE4F52"/>
    <w:rsid w:val="58E87853"/>
    <w:rsid w:val="58FC53A5"/>
    <w:rsid w:val="59330D03"/>
    <w:rsid w:val="595A121E"/>
    <w:rsid w:val="598970EF"/>
    <w:rsid w:val="59950F56"/>
    <w:rsid w:val="599D777F"/>
    <w:rsid w:val="59C75644"/>
    <w:rsid w:val="59D642B4"/>
    <w:rsid w:val="59DE5593"/>
    <w:rsid w:val="5A0849FB"/>
    <w:rsid w:val="5A0D1E1B"/>
    <w:rsid w:val="5A2B11BC"/>
    <w:rsid w:val="5AB21198"/>
    <w:rsid w:val="5AE252AD"/>
    <w:rsid w:val="5AF07FF7"/>
    <w:rsid w:val="5AF422E5"/>
    <w:rsid w:val="5B390D5A"/>
    <w:rsid w:val="5B3F60B2"/>
    <w:rsid w:val="5B512B1F"/>
    <w:rsid w:val="5BA16ADF"/>
    <w:rsid w:val="5BB3686A"/>
    <w:rsid w:val="5BF243F2"/>
    <w:rsid w:val="5BF26431"/>
    <w:rsid w:val="5C006D9C"/>
    <w:rsid w:val="5C01190A"/>
    <w:rsid w:val="5C1942ED"/>
    <w:rsid w:val="5C1C7139"/>
    <w:rsid w:val="5C8D0454"/>
    <w:rsid w:val="5CC06AC7"/>
    <w:rsid w:val="5CE4440C"/>
    <w:rsid w:val="5D443734"/>
    <w:rsid w:val="5D50746E"/>
    <w:rsid w:val="5D573AAA"/>
    <w:rsid w:val="5D592EB9"/>
    <w:rsid w:val="5D6B28AD"/>
    <w:rsid w:val="5D8E1CF1"/>
    <w:rsid w:val="5DFF23EE"/>
    <w:rsid w:val="5E014018"/>
    <w:rsid w:val="5E475228"/>
    <w:rsid w:val="5E6B7E83"/>
    <w:rsid w:val="5E780DEA"/>
    <w:rsid w:val="5E7B7D5D"/>
    <w:rsid w:val="5EAA466A"/>
    <w:rsid w:val="5EBD1B54"/>
    <w:rsid w:val="5EDF0BC7"/>
    <w:rsid w:val="5EE31366"/>
    <w:rsid w:val="5F183785"/>
    <w:rsid w:val="5F601D76"/>
    <w:rsid w:val="5F631FA8"/>
    <w:rsid w:val="5F8F325C"/>
    <w:rsid w:val="5F990D38"/>
    <w:rsid w:val="5FB27E9E"/>
    <w:rsid w:val="5FE75659"/>
    <w:rsid w:val="5FE81B81"/>
    <w:rsid w:val="5FEA15B9"/>
    <w:rsid w:val="5FEE5094"/>
    <w:rsid w:val="603929C5"/>
    <w:rsid w:val="60843483"/>
    <w:rsid w:val="60887891"/>
    <w:rsid w:val="609304D5"/>
    <w:rsid w:val="60AA12C0"/>
    <w:rsid w:val="610B0AE6"/>
    <w:rsid w:val="61124341"/>
    <w:rsid w:val="61407A54"/>
    <w:rsid w:val="61531DCE"/>
    <w:rsid w:val="61740A61"/>
    <w:rsid w:val="618064C2"/>
    <w:rsid w:val="61943B9E"/>
    <w:rsid w:val="628906E0"/>
    <w:rsid w:val="62AD37FC"/>
    <w:rsid w:val="62E155D8"/>
    <w:rsid w:val="631926A0"/>
    <w:rsid w:val="632F6127"/>
    <w:rsid w:val="635F1FDF"/>
    <w:rsid w:val="63720B16"/>
    <w:rsid w:val="63B5776C"/>
    <w:rsid w:val="63EB4897"/>
    <w:rsid w:val="64041E7F"/>
    <w:rsid w:val="645143E6"/>
    <w:rsid w:val="6451733C"/>
    <w:rsid w:val="646C1B68"/>
    <w:rsid w:val="646D000B"/>
    <w:rsid w:val="64884F3F"/>
    <w:rsid w:val="64A83DA6"/>
    <w:rsid w:val="64E21AA3"/>
    <w:rsid w:val="64E67C56"/>
    <w:rsid w:val="651F4682"/>
    <w:rsid w:val="652D5E7F"/>
    <w:rsid w:val="65507243"/>
    <w:rsid w:val="656027FF"/>
    <w:rsid w:val="65BB33A3"/>
    <w:rsid w:val="65C753D5"/>
    <w:rsid w:val="65DD7257"/>
    <w:rsid w:val="65E04EF5"/>
    <w:rsid w:val="65E4576B"/>
    <w:rsid w:val="660D1534"/>
    <w:rsid w:val="661D0043"/>
    <w:rsid w:val="66253FC6"/>
    <w:rsid w:val="66457E51"/>
    <w:rsid w:val="6680376E"/>
    <w:rsid w:val="66824F18"/>
    <w:rsid w:val="66D83286"/>
    <w:rsid w:val="66DD4FD8"/>
    <w:rsid w:val="66ED31EA"/>
    <w:rsid w:val="67007081"/>
    <w:rsid w:val="6711337A"/>
    <w:rsid w:val="67231C39"/>
    <w:rsid w:val="6725236A"/>
    <w:rsid w:val="67361532"/>
    <w:rsid w:val="67864A7F"/>
    <w:rsid w:val="67961E38"/>
    <w:rsid w:val="67D13F01"/>
    <w:rsid w:val="67D70DC5"/>
    <w:rsid w:val="67E748E0"/>
    <w:rsid w:val="67F75E8E"/>
    <w:rsid w:val="68293C00"/>
    <w:rsid w:val="688E5863"/>
    <w:rsid w:val="68E34B21"/>
    <w:rsid w:val="68F13B92"/>
    <w:rsid w:val="68FC6D6B"/>
    <w:rsid w:val="691867A1"/>
    <w:rsid w:val="691A3243"/>
    <w:rsid w:val="69221EE6"/>
    <w:rsid w:val="69544587"/>
    <w:rsid w:val="69641319"/>
    <w:rsid w:val="696C42BB"/>
    <w:rsid w:val="69775DF1"/>
    <w:rsid w:val="697A3A8B"/>
    <w:rsid w:val="698234FF"/>
    <w:rsid w:val="698A6B0F"/>
    <w:rsid w:val="69C2001F"/>
    <w:rsid w:val="69CC14E2"/>
    <w:rsid w:val="69CD6393"/>
    <w:rsid w:val="69EC4C9C"/>
    <w:rsid w:val="69F1784C"/>
    <w:rsid w:val="6A085BC1"/>
    <w:rsid w:val="6A1F7A9F"/>
    <w:rsid w:val="6A2E4844"/>
    <w:rsid w:val="6A37449C"/>
    <w:rsid w:val="6A38427B"/>
    <w:rsid w:val="6A39275A"/>
    <w:rsid w:val="6A782EAA"/>
    <w:rsid w:val="6A7D12F1"/>
    <w:rsid w:val="6A8D51AE"/>
    <w:rsid w:val="6ACF720F"/>
    <w:rsid w:val="6AD3150D"/>
    <w:rsid w:val="6B0E3FAD"/>
    <w:rsid w:val="6B136029"/>
    <w:rsid w:val="6B435052"/>
    <w:rsid w:val="6B5F24B5"/>
    <w:rsid w:val="6B704279"/>
    <w:rsid w:val="6BA66C74"/>
    <w:rsid w:val="6BE82C6E"/>
    <w:rsid w:val="6BEC58FB"/>
    <w:rsid w:val="6BF7258C"/>
    <w:rsid w:val="6C2557CA"/>
    <w:rsid w:val="6C503987"/>
    <w:rsid w:val="6C667711"/>
    <w:rsid w:val="6C79584D"/>
    <w:rsid w:val="6C814578"/>
    <w:rsid w:val="6C843FEE"/>
    <w:rsid w:val="6CA447AA"/>
    <w:rsid w:val="6CDB746B"/>
    <w:rsid w:val="6CEE29E6"/>
    <w:rsid w:val="6CF50ECF"/>
    <w:rsid w:val="6D020EA1"/>
    <w:rsid w:val="6D126784"/>
    <w:rsid w:val="6D4A3B5E"/>
    <w:rsid w:val="6D710B8B"/>
    <w:rsid w:val="6D777815"/>
    <w:rsid w:val="6DC620EB"/>
    <w:rsid w:val="6DE74779"/>
    <w:rsid w:val="6E0F1211"/>
    <w:rsid w:val="6E3C1E92"/>
    <w:rsid w:val="6E3F6395"/>
    <w:rsid w:val="6E6A40B1"/>
    <w:rsid w:val="6E732CEA"/>
    <w:rsid w:val="6E8B5596"/>
    <w:rsid w:val="6EA77D72"/>
    <w:rsid w:val="6EBC27A3"/>
    <w:rsid w:val="6EBD37F5"/>
    <w:rsid w:val="6ECC2A09"/>
    <w:rsid w:val="6ED06D55"/>
    <w:rsid w:val="6EEE4841"/>
    <w:rsid w:val="6EF00E07"/>
    <w:rsid w:val="6EF22902"/>
    <w:rsid w:val="6F5166B8"/>
    <w:rsid w:val="6F594B9C"/>
    <w:rsid w:val="6F596421"/>
    <w:rsid w:val="6F64748F"/>
    <w:rsid w:val="6F6B7D6A"/>
    <w:rsid w:val="6FB30B76"/>
    <w:rsid w:val="6FBD0858"/>
    <w:rsid w:val="70255535"/>
    <w:rsid w:val="70590C2C"/>
    <w:rsid w:val="7089454E"/>
    <w:rsid w:val="708C3687"/>
    <w:rsid w:val="709241E9"/>
    <w:rsid w:val="70987EDE"/>
    <w:rsid w:val="70F825BD"/>
    <w:rsid w:val="710C7745"/>
    <w:rsid w:val="71615427"/>
    <w:rsid w:val="71D01D86"/>
    <w:rsid w:val="72276206"/>
    <w:rsid w:val="72483376"/>
    <w:rsid w:val="724C04FD"/>
    <w:rsid w:val="724F43AE"/>
    <w:rsid w:val="725306B2"/>
    <w:rsid w:val="726E3434"/>
    <w:rsid w:val="72A07365"/>
    <w:rsid w:val="72E1752D"/>
    <w:rsid w:val="73546843"/>
    <w:rsid w:val="73645201"/>
    <w:rsid w:val="7370418D"/>
    <w:rsid w:val="73725529"/>
    <w:rsid w:val="738E25DD"/>
    <w:rsid w:val="73A015C2"/>
    <w:rsid w:val="73A913CF"/>
    <w:rsid w:val="73E5576B"/>
    <w:rsid w:val="73EB1497"/>
    <w:rsid w:val="74000A47"/>
    <w:rsid w:val="74484526"/>
    <w:rsid w:val="745B45EA"/>
    <w:rsid w:val="74885606"/>
    <w:rsid w:val="74AA0188"/>
    <w:rsid w:val="74B23AE1"/>
    <w:rsid w:val="74BB6271"/>
    <w:rsid w:val="74C415F0"/>
    <w:rsid w:val="74C5255B"/>
    <w:rsid w:val="74F15650"/>
    <w:rsid w:val="751115BE"/>
    <w:rsid w:val="751F2214"/>
    <w:rsid w:val="75390185"/>
    <w:rsid w:val="75580F8A"/>
    <w:rsid w:val="75740E00"/>
    <w:rsid w:val="757F162D"/>
    <w:rsid w:val="757F26D8"/>
    <w:rsid w:val="75BE31B8"/>
    <w:rsid w:val="75CC2D4E"/>
    <w:rsid w:val="75F71430"/>
    <w:rsid w:val="75F92840"/>
    <w:rsid w:val="763A080C"/>
    <w:rsid w:val="76641507"/>
    <w:rsid w:val="767E66C9"/>
    <w:rsid w:val="76D55BFE"/>
    <w:rsid w:val="76EB5B39"/>
    <w:rsid w:val="76ED2AF4"/>
    <w:rsid w:val="771478EB"/>
    <w:rsid w:val="773033B3"/>
    <w:rsid w:val="773E5387"/>
    <w:rsid w:val="775A5AE2"/>
    <w:rsid w:val="776F4F23"/>
    <w:rsid w:val="77755C60"/>
    <w:rsid w:val="7797161E"/>
    <w:rsid w:val="77AD10EF"/>
    <w:rsid w:val="77B14E94"/>
    <w:rsid w:val="77E359DC"/>
    <w:rsid w:val="78130518"/>
    <w:rsid w:val="78156E78"/>
    <w:rsid w:val="782D5EAF"/>
    <w:rsid w:val="783A5A4C"/>
    <w:rsid w:val="7897138D"/>
    <w:rsid w:val="789F1175"/>
    <w:rsid w:val="78A515AE"/>
    <w:rsid w:val="790B385D"/>
    <w:rsid w:val="791540A5"/>
    <w:rsid w:val="79220FB2"/>
    <w:rsid w:val="792B68AC"/>
    <w:rsid w:val="7931734A"/>
    <w:rsid w:val="793C27DB"/>
    <w:rsid w:val="796D2939"/>
    <w:rsid w:val="7987773F"/>
    <w:rsid w:val="799053FC"/>
    <w:rsid w:val="79AF2036"/>
    <w:rsid w:val="79BD46A6"/>
    <w:rsid w:val="79D70B27"/>
    <w:rsid w:val="79DB0643"/>
    <w:rsid w:val="7A4F593C"/>
    <w:rsid w:val="7A8908FC"/>
    <w:rsid w:val="7ABC6581"/>
    <w:rsid w:val="7AC50732"/>
    <w:rsid w:val="7ADB38D4"/>
    <w:rsid w:val="7AF75820"/>
    <w:rsid w:val="7B2044F7"/>
    <w:rsid w:val="7B310E5D"/>
    <w:rsid w:val="7B9717AC"/>
    <w:rsid w:val="7B9D644C"/>
    <w:rsid w:val="7BA625AF"/>
    <w:rsid w:val="7BC84C59"/>
    <w:rsid w:val="7BCF2178"/>
    <w:rsid w:val="7BDC1F77"/>
    <w:rsid w:val="7BF13877"/>
    <w:rsid w:val="7BF60646"/>
    <w:rsid w:val="7C01401C"/>
    <w:rsid w:val="7C3E15E7"/>
    <w:rsid w:val="7C587C3D"/>
    <w:rsid w:val="7C617FF8"/>
    <w:rsid w:val="7C782645"/>
    <w:rsid w:val="7CB33935"/>
    <w:rsid w:val="7CBB4E7A"/>
    <w:rsid w:val="7CCD3892"/>
    <w:rsid w:val="7CF20ECE"/>
    <w:rsid w:val="7D1A1976"/>
    <w:rsid w:val="7D1B1ED0"/>
    <w:rsid w:val="7D4B3BA0"/>
    <w:rsid w:val="7D5D5F32"/>
    <w:rsid w:val="7D727C3E"/>
    <w:rsid w:val="7D7A3E7D"/>
    <w:rsid w:val="7DA9568A"/>
    <w:rsid w:val="7DBE1A3A"/>
    <w:rsid w:val="7DC55F8D"/>
    <w:rsid w:val="7DD2691C"/>
    <w:rsid w:val="7DEB62B7"/>
    <w:rsid w:val="7E333FDB"/>
    <w:rsid w:val="7E3563A1"/>
    <w:rsid w:val="7E3842C6"/>
    <w:rsid w:val="7E4F31F2"/>
    <w:rsid w:val="7E62202E"/>
    <w:rsid w:val="7E654AE8"/>
    <w:rsid w:val="7E735DA8"/>
    <w:rsid w:val="7E753CCA"/>
    <w:rsid w:val="7E84265A"/>
    <w:rsid w:val="7E9326F9"/>
    <w:rsid w:val="7E9D42A8"/>
    <w:rsid w:val="7EAB64E4"/>
    <w:rsid w:val="7EE10C39"/>
    <w:rsid w:val="7EE20452"/>
    <w:rsid w:val="7F0E6A25"/>
    <w:rsid w:val="7F221872"/>
    <w:rsid w:val="7F395D9C"/>
    <w:rsid w:val="7F420D9C"/>
    <w:rsid w:val="7F6457DC"/>
    <w:rsid w:val="7F79468E"/>
    <w:rsid w:val="7FD47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rPr>
  </w:style>
  <w:style w:type="paragraph" w:styleId="4">
    <w:name w:val="heading 3"/>
    <w:basedOn w:val="3"/>
    <w:next w:val="1"/>
    <w:link w:val="106"/>
    <w:qFormat/>
    <w:uiPriority w:val="0"/>
    <w:pPr>
      <w:numPr>
        <w:ilvl w:val="2"/>
      </w:numPr>
      <w:spacing w:before="120"/>
      <w:outlineLvl w:val="2"/>
    </w:p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32"/>
      <w:lang w:val="en-GB" w:eastAsia="en-US"/>
    </w:rPr>
  </w:style>
  <w:style w:type="character" w:customStyle="1" w:styleId="105">
    <w:name w:val="标题 2 Char"/>
    <w:link w:val="3"/>
    <w:qFormat/>
    <w:uiPriority w:val="0"/>
    <w:rPr>
      <w:rFonts w:ascii="Arial" w:hAnsi="Arial" w:eastAsia="宋体"/>
      <w:sz w:val="28"/>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52">
    <w:name w:val="New Paragraph Style"/>
    <w:basedOn w:val="1"/>
    <w:qFormat/>
    <w:uiPriority w:val="0"/>
    <w:pPr>
      <w:widowControl w:val="0"/>
      <w:numPr>
        <w:ilvl w:val="0"/>
        <w:numId w:val="9"/>
      </w:numPr>
      <w:adjustRightInd w:val="0"/>
      <w:spacing w:line="480" w:lineRule="auto"/>
      <w:jc w:val="both"/>
      <w:textAlignment w:val="baseline"/>
    </w:pPr>
    <w:rPr>
      <w:rFonts w:ascii="Courier New" w:hAnsi="Courier New" w:eastAsia="Times New Roman"/>
      <w:bCs/>
      <w:szCs w:val="20"/>
    </w:rPr>
  </w:style>
  <w:style w:type="character" w:customStyle="1" w:styleId="153">
    <w:name w:val="B1 (文字)"/>
    <w:qFormat/>
    <w:locked/>
    <w:uiPriority w:val="0"/>
    <w:rPr>
      <w:rFonts w:ascii="Times New Roman" w:hAnsi="Times New Roman" w:eastAsia="Times New Roman" w:cs="Times New Roman"/>
      <w:sz w:val="20"/>
      <w:szCs w:val="20"/>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BF5348-08CE-46A2-B6C7-D667930F0DC1}">
  <ds:schemaRefs/>
</ds:datastoreItem>
</file>

<file path=customXml/itemProps3.xml><?xml version="1.0" encoding="utf-8"?>
<ds:datastoreItem xmlns:ds="http://schemas.openxmlformats.org/officeDocument/2006/customXml" ds:itemID="{DE437376-A7B6-47B7-A9FE-9D6C62534131}">
  <ds:schemaRefs/>
</ds:datastoreItem>
</file>

<file path=customXml/itemProps4.xml><?xml version="1.0" encoding="utf-8"?>
<ds:datastoreItem xmlns:ds="http://schemas.openxmlformats.org/officeDocument/2006/customXml" ds:itemID="{9C2FF60E-EDDE-47F2-966E-A40547D413B7}">
  <ds:schemaRefs/>
</ds:datastoreItem>
</file>

<file path=customXml/itemProps5.xml><?xml version="1.0" encoding="utf-8"?>
<ds:datastoreItem xmlns:ds="http://schemas.openxmlformats.org/officeDocument/2006/customXml" ds:itemID="{4F156B33-FE54-4BF7-8206-606715473FFD}">
  <ds:schemaRefs/>
</ds:datastoreItem>
</file>

<file path=customXml/itemProps6.xml><?xml version="1.0" encoding="utf-8"?>
<ds:datastoreItem xmlns:ds="http://schemas.openxmlformats.org/officeDocument/2006/customXml" ds:itemID="{052B0C2A-1627-499A-BDC9-127781D196CB}">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1</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ZTE</cp:lastModifiedBy>
  <cp:lastPrinted>2018-04-07T03:05:00Z</cp:lastPrinted>
  <dcterms:modified xsi:type="dcterms:W3CDTF">2022-02-10T06:06:38Z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